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D5" w:rsidRDefault="00C975D5" w:rsidP="00C975D5">
      <w:pPr>
        <w:jc w:val="center"/>
        <w:rPr>
          <w:b/>
          <w:sz w:val="40"/>
          <w:szCs w:val="40"/>
        </w:rPr>
      </w:pPr>
      <w:r>
        <w:rPr>
          <w:b/>
          <w:sz w:val="40"/>
          <w:szCs w:val="40"/>
        </w:rPr>
        <w:t>SCRIPT</w:t>
      </w:r>
    </w:p>
    <w:p w:rsidR="00C975D5" w:rsidRPr="006469E4" w:rsidRDefault="00C975D5" w:rsidP="00C975D5">
      <w:pPr>
        <w:jc w:val="center"/>
        <w:rPr>
          <w:b/>
          <w:sz w:val="40"/>
          <w:szCs w:val="40"/>
        </w:rPr>
      </w:pPr>
      <w:r w:rsidRPr="006469E4">
        <w:rPr>
          <w:b/>
          <w:sz w:val="40"/>
          <w:szCs w:val="40"/>
        </w:rPr>
        <w:t xml:space="preserve">Professional Development 101: </w:t>
      </w:r>
      <w:r>
        <w:rPr>
          <w:b/>
          <w:sz w:val="40"/>
          <w:szCs w:val="40"/>
        </w:rPr>
        <w:t>The</w:t>
      </w:r>
      <w:r w:rsidRPr="006469E4">
        <w:rPr>
          <w:b/>
          <w:sz w:val="40"/>
          <w:szCs w:val="40"/>
        </w:rPr>
        <w:t xml:space="preserve"> Basics</w:t>
      </w:r>
      <w:r w:rsidR="001318E6">
        <w:rPr>
          <w:b/>
          <w:sz w:val="40"/>
          <w:szCs w:val="40"/>
        </w:rPr>
        <w:t xml:space="preserve"> – Part 2</w:t>
      </w:r>
    </w:p>
    <w:p w:rsidR="00C920D9" w:rsidRPr="00A44F68" w:rsidRDefault="00C920D9" w:rsidP="00A44F68">
      <w:pPr>
        <w:pStyle w:val="Heading1"/>
      </w:pPr>
      <w:r w:rsidRPr="00A44F68">
        <w:t>SECTION 1: INTRODUCTION</w:t>
      </w:r>
    </w:p>
    <w:p w:rsidR="00C975D5" w:rsidRPr="00A44F68" w:rsidRDefault="00C975D5" w:rsidP="00A8471D">
      <w:pPr>
        <w:pStyle w:val="Heading2"/>
      </w:pPr>
      <w:r w:rsidRPr="00A44F68">
        <w:t>WELCOME</w:t>
      </w:r>
    </w:p>
    <w:p w:rsidR="001318E6" w:rsidRDefault="00C975D5" w:rsidP="001318E6">
      <w:r w:rsidRPr="00C27EED">
        <w:rPr>
          <w:b/>
        </w:rPr>
        <w:t>Bridget:</w:t>
      </w:r>
      <w:r>
        <w:t xml:space="preserve"> </w:t>
      </w:r>
      <w:r w:rsidR="001318E6">
        <w:t xml:space="preserve">Welcome to </w:t>
      </w:r>
      <w:r w:rsidR="001318E6" w:rsidRPr="001D74F5">
        <w:rPr>
          <w:i/>
        </w:rPr>
        <w:t>Professional Development 101: The Basics</w:t>
      </w:r>
      <w:r w:rsidR="001318E6">
        <w:rPr>
          <w:i/>
        </w:rPr>
        <w:t xml:space="preserve"> – Part 2. </w:t>
      </w:r>
      <w:r w:rsidR="001318E6" w:rsidRPr="00BC1346">
        <w:t>This is the second part of</w:t>
      </w:r>
      <w:r w:rsidR="001318E6">
        <w:t xml:space="preserve"> the Professional Development Basics course.</w:t>
      </w:r>
    </w:p>
    <w:p w:rsidR="00C975D5" w:rsidRDefault="00C975D5" w:rsidP="00C975D5"/>
    <w:p w:rsidR="00C975D5" w:rsidRDefault="00C975D5" w:rsidP="00C975D5">
      <w:r>
        <w:t xml:space="preserve">My name is Bridget </w:t>
      </w:r>
      <w:proofErr w:type="spellStart"/>
      <w:r>
        <w:t>Borgogna</w:t>
      </w:r>
      <w:proofErr w:type="spellEnd"/>
      <w:r>
        <w:t xml:space="preserve">, and I am a </w:t>
      </w:r>
      <w:r w:rsidR="00E65B64">
        <w:t>h</w:t>
      </w:r>
      <w:r>
        <w:t xml:space="preserve">ealth </w:t>
      </w:r>
      <w:r w:rsidR="00E65B64">
        <w:t>e</w:t>
      </w:r>
      <w:r>
        <w:t xml:space="preserve">ducation </w:t>
      </w:r>
      <w:r w:rsidR="00E65B64">
        <w:t>s</w:t>
      </w:r>
      <w:r>
        <w:t xml:space="preserve">pecialist and </w:t>
      </w:r>
      <w:r w:rsidR="00E65B64">
        <w:t>p</w:t>
      </w:r>
      <w:r>
        <w:t xml:space="preserve">roject </w:t>
      </w:r>
      <w:r w:rsidR="00E65B64">
        <w:t>o</w:t>
      </w:r>
      <w:r>
        <w:t xml:space="preserve">fficer at CDC’s Division of Population Health, School Health Branch. I’m joined by Melissa </w:t>
      </w:r>
      <w:proofErr w:type="spellStart"/>
      <w:r>
        <w:t>Fahrenbruch</w:t>
      </w:r>
      <w:proofErr w:type="spellEnd"/>
      <w:r>
        <w:t>, who is the team lead for the Program and Professional Development team in the School Health Branch.</w:t>
      </w:r>
    </w:p>
    <w:p w:rsidR="00C975D5" w:rsidRDefault="00C975D5" w:rsidP="00C975D5"/>
    <w:p w:rsidR="00C975D5" w:rsidRDefault="00BF7638" w:rsidP="00C975D5">
      <w:pPr>
        <w:rPr>
          <w:color w:val="E36C0A" w:themeColor="accent6" w:themeShade="BF"/>
        </w:rPr>
      </w:pPr>
      <w:r w:rsidRPr="00BF7638">
        <w:rPr>
          <w:b/>
          <w:color w:val="E36C0A" w:themeColor="accent6" w:themeShade="BF"/>
        </w:rPr>
        <w:t>Melissa</w:t>
      </w:r>
      <w:r w:rsidRPr="008A77A3">
        <w:rPr>
          <w:b/>
          <w:color w:val="E36C0A" w:themeColor="accent6" w:themeShade="BF"/>
        </w:rPr>
        <w:t>:</w:t>
      </w:r>
      <w:r>
        <w:rPr>
          <w:color w:val="E36C0A" w:themeColor="accent6" w:themeShade="BF"/>
        </w:rPr>
        <w:t xml:space="preserve"> </w:t>
      </w:r>
      <w:r w:rsidR="00C975D5">
        <w:rPr>
          <w:color w:val="E36C0A" w:themeColor="accent6" w:themeShade="BF"/>
        </w:rPr>
        <w:t xml:space="preserve"> </w:t>
      </w:r>
      <w:r w:rsidR="00C975D5" w:rsidRPr="0019271C">
        <w:rPr>
          <w:color w:val="E36C0A" w:themeColor="accent6" w:themeShade="BF"/>
        </w:rPr>
        <w:t xml:space="preserve">Hello. I’m looking forward to </w:t>
      </w:r>
      <w:r w:rsidR="001318E6">
        <w:rPr>
          <w:color w:val="E36C0A" w:themeColor="accent6" w:themeShade="BF"/>
        </w:rPr>
        <w:t>continuing on with Part 2</w:t>
      </w:r>
      <w:r w:rsidR="001318E6" w:rsidRPr="0019271C">
        <w:rPr>
          <w:color w:val="E36C0A" w:themeColor="accent6" w:themeShade="BF"/>
        </w:rPr>
        <w:t>.</w:t>
      </w:r>
    </w:p>
    <w:p w:rsidR="00C975D5" w:rsidRPr="00A8471D" w:rsidRDefault="001318E6" w:rsidP="001318E6">
      <w:pPr>
        <w:pStyle w:val="Heading2"/>
      </w:pPr>
      <w:r w:rsidRPr="00A8471D">
        <w:t>PURPOSE OF COURSE</w:t>
      </w:r>
    </w:p>
    <w:p w:rsidR="001318E6" w:rsidRDefault="00C27EED" w:rsidP="001318E6">
      <w:r w:rsidRPr="00C27EED">
        <w:rPr>
          <w:b/>
        </w:rPr>
        <w:t>Bridget:</w:t>
      </w:r>
      <w:r w:rsidR="00C975D5">
        <w:t xml:space="preserve"> </w:t>
      </w:r>
      <w:r w:rsidR="001318E6">
        <w:t xml:space="preserve">In Part 1, </w:t>
      </w:r>
      <w:r w:rsidR="001318E6" w:rsidRPr="00BC1346">
        <w:t>we introduced you to six P</w:t>
      </w:r>
      <w:r w:rsidR="001318E6">
        <w:t>rofessional Development Practices and examined the first three practices: Sustain, Design, and Market. In Part 2, we will continue with our discussion of the remaining three practices: Deliver, Follow-Up, and Evaluate.</w:t>
      </w:r>
    </w:p>
    <w:p w:rsidR="00C975D5" w:rsidRDefault="00C975D5" w:rsidP="00C975D5"/>
    <w:p w:rsidR="001318E6" w:rsidRPr="00BC1346" w:rsidRDefault="00BF7638" w:rsidP="001318E6">
      <w:pPr>
        <w:rPr>
          <w:color w:val="E36C0A" w:themeColor="accent6" w:themeShade="BF"/>
        </w:rPr>
      </w:pPr>
      <w:r w:rsidRPr="00BF7638">
        <w:rPr>
          <w:b/>
          <w:color w:val="E36C0A" w:themeColor="accent6" w:themeShade="BF"/>
        </w:rPr>
        <w:t>Melissa</w:t>
      </w:r>
      <w:r w:rsidRPr="008A77A3">
        <w:rPr>
          <w:b/>
          <w:color w:val="E36C0A" w:themeColor="accent6" w:themeShade="BF"/>
        </w:rPr>
        <w:t>:</w:t>
      </w:r>
      <w:r>
        <w:rPr>
          <w:color w:val="E36C0A" w:themeColor="accent6" w:themeShade="BF"/>
        </w:rPr>
        <w:t xml:space="preserve"> </w:t>
      </w:r>
      <w:r w:rsidR="001318E6" w:rsidRPr="00BC1346">
        <w:rPr>
          <w:color w:val="E36C0A" w:themeColor="accent6" w:themeShade="BF"/>
        </w:rPr>
        <w:t>The Professional Development practices were developed in partnership with Rocky Mountain Center for Health Promotion and Education, or RMC Health.</w:t>
      </w:r>
    </w:p>
    <w:p w:rsidR="00C975D5" w:rsidRDefault="00C975D5" w:rsidP="00C975D5"/>
    <w:p w:rsidR="00C975D5" w:rsidRDefault="00C27EED" w:rsidP="00C975D5">
      <w:r w:rsidRPr="00C27EED">
        <w:rPr>
          <w:b/>
        </w:rPr>
        <w:t>Bridget:</w:t>
      </w:r>
      <w:r w:rsidR="00C975D5">
        <w:t xml:space="preserve"> By providing courses like this, we believe we can help you increase the skill-building capacity of your staff, as they work toward improving health and educational outcomes among youth.</w:t>
      </w:r>
    </w:p>
    <w:p w:rsidR="00C920D9" w:rsidRDefault="001318E6" w:rsidP="001318E6">
      <w:pPr>
        <w:pStyle w:val="Heading2"/>
      </w:pPr>
      <w:r>
        <w:t>LEARNING OBJECTIVES</w:t>
      </w:r>
    </w:p>
    <w:p w:rsidR="00C920D9" w:rsidRDefault="00C27EED" w:rsidP="00C920D9">
      <w:r w:rsidRPr="00C27EED">
        <w:rPr>
          <w:b/>
        </w:rPr>
        <w:t>Bridget:</w:t>
      </w:r>
      <w:r w:rsidR="00C920D9">
        <w:t xml:space="preserve"> These are the points we’ll cover over the next hour.</w:t>
      </w:r>
    </w:p>
    <w:p w:rsidR="00C920D9" w:rsidRDefault="00C920D9" w:rsidP="00C920D9"/>
    <w:p w:rsidR="00C920D9" w:rsidRPr="00C920D9" w:rsidRDefault="00B95B0C" w:rsidP="00C920D9">
      <w:pPr>
        <w:rPr>
          <w:i/>
        </w:rPr>
      </w:pPr>
      <w:r>
        <w:rPr>
          <w:i/>
        </w:rPr>
        <w:t>[S</w:t>
      </w:r>
      <w:r w:rsidR="00C920D9" w:rsidRPr="00C920D9">
        <w:rPr>
          <w:i/>
        </w:rPr>
        <w:t>lide with learning objectives.]</w:t>
      </w:r>
    </w:p>
    <w:p w:rsidR="00C920D9" w:rsidRDefault="00C920D9" w:rsidP="00C920D9"/>
    <w:p w:rsidR="001318E6" w:rsidRDefault="001318E6" w:rsidP="001318E6">
      <w:r>
        <w:t xml:space="preserve">We will briefly review the first three practices and then dig deeper to understand the remaining three practices: Deliver, Follow-Up, and Evaluate. As we go, we will highlight characteristics of effective use and share key strategies for the remaining practices. </w:t>
      </w:r>
    </w:p>
    <w:p w:rsidR="001318E6" w:rsidRDefault="001318E6" w:rsidP="001318E6"/>
    <w:p w:rsidR="001318E6" w:rsidRDefault="001318E6" w:rsidP="001318E6">
      <w:r>
        <w:t xml:space="preserve">Throughout the course, you’ll have opportunities to review, get more information, and test your knowledge. You can print out a </w:t>
      </w:r>
      <w:r w:rsidRPr="00696EDB">
        <w:t>certificate of completion</w:t>
      </w:r>
      <w:r>
        <w:t xml:space="preserve"> at the end, and we’ll want to know your opinions about the course before we wrap up this session.</w:t>
      </w:r>
    </w:p>
    <w:p w:rsidR="001318E6" w:rsidRDefault="001318E6" w:rsidP="001318E6"/>
    <w:p w:rsidR="001318E6" w:rsidRPr="00F26D60" w:rsidRDefault="001318E6" w:rsidP="001318E6">
      <w:r>
        <w:t>All right, let’s get started!</w:t>
      </w:r>
    </w:p>
    <w:p w:rsidR="0004307E" w:rsidRDefault="001318E6" w:rsidP="00A44F68">
      <w:pPr>
        <w:pStyle w:val="Heading1"/>
      </w:pPr>
      <w:r>
        <w:lastRenderedPageBreak/>
        <w:t>SECTION 2</w:t>
      </w:r>
      <w:r w:rsidR="00A44F68">
        <w:t>: PROFESSIONAL DEVELOPMENT PRACTICES</w:t>
      </w:r>
    </w:p>
    <w:p w:rsidR="0004307E" w:rsidRDefault="001318E6" w:rsidP="00A8471D">
      <w:pPr>
        <w:pStyle w:val="Heading2"/>
      </w:pPr>
      <w:r>
        <w:t>REVIEW OF SUSTAIN, DESIGN, AND MARKET PRACTICES</w:t>
      </w:r>
    </w:p>
    <w:p w:rsidR="0004307E" w:rsidRDefault="0004307E" w:rsidP="0004307E"/>
    <w:p w:rsidR="001318E6" w:rsidRDefault="008A77A3" w:rsidP="001318E6">
      <w:r w:rsidRPr="00C27EED">
        <w:rPr>
          <w:b/>
        </w:rPr>
        <w:t>Bridget:</w:t>
      </w:r>
      <w:r>
        <w:rPr>
          <w:b/>
        </w:rPr>
        <w:t xml:space="preserve"> </w:t>
      </w:r>
      <w:r w:rsidR="001318E6">
        <w:t>Let’s begin with a review of the Sustain, Design, and Market practices.</w:t>
      </w:r>
    </w:p>
    <w:p w:rsidR="001318E6" w:rsidRDefault="001318E6" w:rsidP="001318E6"/>
    <w:p w:rsidR="001318E6" w:rsidRDefault="001318E6" w:rsidP="001318E6">
      <w:pPr>
        <w:rPr>
          <w:iCs/>
        </w:rPr>
      </w:pPr>
      <w:r>
        <w:t xml:space="preserve">In Part 1, we talked about the Sustain practice as being the underlying foundation for all the other practices because it provides the framework for your professional development program. </w:t>
      </w:r>
      <w:r>
        <w:rPr>
          <w:iCs/>
        </w:rPr>
        <w:t>A solid framework establishes the st</w:t>
      </w:r>
      <w:r w:rsidRPr="00573A68">
        <w:rPr>
          <w:iCs/>
        </w:rPr>
        <w:t>an</w:t>
      </w:r>
      <w:r>
        <w:rPr>
          <w:iCs/>
        </w:rPr>
        <w:t>dard of practice for building and sustaining a strong PD infrastructure.</w:t>
      </w:r>
    </w:p>
    <w:p w:rsidR="001318E6" w:rsidRDefault="001318E6" w:rsidP="001318E6">
      <w:pPr>
        <w:rPr>
          <w:iCs/>
        </w:rPr>
      </w:pPr>
    </w:p>
    <w:p w:rsidR="001318E6" w:rsidRDefault="001318E6" w:rsidP="001318E6">
      <w:r>
        <w:t xml:space="preserve">We talked about how important it is </w:t>
      </w:r>
      <w:r>
        <w:rPr>
          <w:iCs/>
        </w:rPr>
        <w:t xml:space="preserve">to start with effective training objectives and thoughtful planning about the </w:t>
      </w:r>
      <w:r w:rsidRPr="00053252">
        <w:rPr>
          <w:i/>
          <w:iCs/>
        </w:rPr>
        <w:t>intent</w:t>
      </w:r>
      <w:r>
        <w:rPr>
          <w:iCs/>
        </w:rPr>
        <w:t xml:space="preserve"> of the event w</w:t>
      </w:r>
      <w:r>
        <w:t>hen we talked about the Design practice. We also talked about keeping adult learning principles in mind and systematically planning for follow-up support  during the design phase.</w:t>
      </w:r>
    </w:p>
    <w:p w:rsidR="001318E6" w:rsidRDefault="001318E6" w:rsidP="001318E6"/>
    <w:p w:rsidR="001318E6" w:rsidRDefault="001318E6" w:rsidP="001318E6">
      <w:r>
        <w:t>Lastly, we provided some marketing tips to reach your audience. We used the Marketing Continuum to illustrate various marketing options, from low-cost, minimal time investments to costly, time-intensive efforts to employ marketing tactics to capture the attention of your target audience.</w:t>
      </w:r>
    </w:p>
    <w:p w:rsidR="001318E6" w:rsidRDefault="001318E6" w:rsidP="001318E6"/>
    <w:p w:rsidR="001318E6" w:rsidRDefault="001318E6" w:rsidP="001318E6">
      <w:r w:rsidRPr="008A77A3">
        <w:rPr>
          <w:b/>
          <w:color w:val="E36C0A" w:themeColor="accent6" w:themeShade="BF"/>
        </w:rPr>
        <w:t>M</w:t>
      </w:r>
      <w:r w:rsidR="008A77A3" w:rsidRPr="008A77A3">
        <w:rPr>
          <w:b/>
          <w:color w:val="E36C0A" w:themeColor="accent6" w:themeShade="BF"/>
        </w:rPr>
        <w:t>elissa</w:t>
      </w:r>
      <w:r w:rsidRPr="008A77A3">
        <w:rPr>
          <w:b/>
          <w:color w:val="E36C0A" w:themeColor="accent6" w:themeShade="BF"/>
        </w:rPr>
        <w:t>:</w:t>
      </w:r>
      <w:r w:rsidRPr="00A74C67">
        <w:rPr>
          <w:color w:val="E36C0A" w:themeColor="accent6" w:themeShade="BF"/>
        </w:rPr>
        <w:t xml:space="preserve"> If you haven’t taken Part 1 of this course, we highly recommend it so that by the end of this course, you have a complete picture of the six professional development practices.</w:t>
      </w:r>
    </w:p>
    <w:p w:rsidR="0004307E" w:rsidRDefault="00386C31" w:rsidP="00A8471D">
      <w:pPr>
        <w:pStyle w:val="Heading2"/>
      </w:pPr>
      <w:r>
        <w:t>DELIVER, FOLLOW-UP, AND EVALUATE</w:t>
      </w:r>
      <w:r w:rsidR="008B464D">
        <w:t xml:space="preserve"> PRACTICES</w:t>
      </w:r>
    </w:p>
    <w:p w:rsidR="0004307E" w:rsidRDefault="00C27EED" w:rsidP="0004307E">
      <w:pPr>
        <w:rPr>
          <w:bCs/>
          <w:iCs/>
        </w:rPr>
      </w:pPr>
      <w:r w:rsidRPr="00C27EED">
        <w:rPr>
          <w:b/>
        </w:rPr>
        <w:t>Bridget:</w:t>
      </w:r>
      <w:r>
        <w:rPr>
          <w:b/>
        </w:rPr>
        <w:t xml:space="preserve"> </w:t>
      </w:r>
      <w:r w:rsidR="00386C31">
        <w:rPr>
          <w:bCs/>
          <w:iCs/>
        </w:rPr>
        <w:t>We are now ready to dig in to the remai</w:t>
      </w:r>
      <w:r w:rsidR="006E35A7">
        <w:rPr>
          <w:bCs/>
          <w:iCs/>
        </w:rPr>
        <w:t xml:space="preserve">ning practices: Deliver, Follow </w:t>
      </w:r>
      <w:r w:rsidR="00386C31">
        <w:rPr>
          <w:bCs/>
          <w:iCs/>
        </w:rPr>
        <w:t>Up, and Evaluate.</w:t>
      </w:r>
    </w:p>
    <w:p w:rsidR="001C7B2A" w:rsidRDefault="001C7B2A" w:rsidP="001C7B2A">
      <w:pPr>
        <w:pStyle w:val="Heading1"/>
      </w:pPr>
      <w:r>
        <w:t>SECTION 3: DELIVER PRACTICE</w:t>
      </w:r>
    </w:p>
    <w:p w:rsidR="00386C31" w:rsidRDefault="00C27EED" w:rsidP="00386C31">
      <w:r w:rsidRPr="00C27EED">
        <w:rPr>
          <w:b/>
        </w:rPr>
        <w:t>Bridget:</w:t>
      </w:r>
      <w:r>
        <w:rPr>
          <w:b/>
        </w:rPr>
        <w:t xml:space="preserve"> </w:t>
      </w:r>
      <w:r w:rsidR="00386C31">
        <w:rPr>
          <w:bCs/>
          <w:iCs/>
        </w:rPr>
        <w:t xml:space="preserve">We </w:t>
      </w:r>
      <w:r w:rsidR="008A77A3">
        <w:rPr>
          <w:bCs/>
          <w:iCs/>
        </w:rPr>
        <w:t>will start with</w:t>
      </w:r>
      <w:r w:rsidR="00386C31">
        <w:rPr>
          <w:bCs/>
          <w:iCs/>
        </w:rPr>
        <w:t xml:space="preserve"> the fourth PD Practice, </w:t>
      </w:r>
      <w:r w:rsidR="00386C31" w:rsidRPr="006D31CB">
        <w:rPr>
          <w:b/>
          <w:bCs/>
          <w:iCs/>
        </w:rPr>
        <w:t>Deliver</w:t>
      </w:r>
      <w:r w:rsidR="00386C31" w:rsidRPr="005D7CA7">
        <w:rPr>
          <w:bCs/>
          <w:iCs/>
        </w:rPr>
        <w:t xml:space="preserve"> </w:t>
      </w:r>
      <w:r w:rsidR="00386C31" w:rsidRPr="005D7CA7">
        <w:rPr>
          <w:iCs/>
        </w:rPr>
        <w:t>Professional Development</w:t>
      </w:r>
      <w:r w:rsidR="00386C31">
        <w:rPr>
          <w:iCs/>
        </w:rPr>
        <w:t>. This is the e</w:t>
      </w:r>
      <w:r w:rsidR="00386C31">
        <w:t>xecution phase of all the effective training and technical assistance that you have designed and marketed. Now is your opportunity to impact learning and create change.</w:t>
      </w:r>
    </w:p>
    <w:p w:rsidR="0004307E" w:rsidRDefault="0004307E" w:rsidP="0004307E"/>
    <w:p w:rsidR="0004307E" w:rsidRDefault="0004307E" w:rsidP="0004307E">
      <w:r>
        <w:t>Activities are delivered in a variety of ways, from in-person to online, but an awareness of adult learning principles is essential, regardless of the format, to engage participants and bring the training to life.</w:t>
      </w:r>
    </w:p>
    <w:p w:rsidR="0004307E" w:rsidRPr="00FB1917" w:rsidRDefault="00626B07" w:rsidP="00A8471D">
      <w:pPr>
        <w:pStyle w:val="Heading3"/>
      </w:pPr>
      <w:r>
        <w:t>Adult Learning Principles in</w:t>
      </w:r>
      <w:r w:rsidRPr="00FB1917">
        <w:t xml:space="preserve"> Delivery</w:t>
      </w:r>
    </w:p>
    <w:p w:rsidR="0004307E" w:rsidRPr="00FB1917" w:rsidRDefault="00C27EED" w:rsidP="0004307E">
      <w:r w:rsidRPr="00C27EED">
        <w:rPr>
          <w:b/>
        </w:rPr>
        <w:t>Bridget:</w:t>
      </w:r>
      <w:r>
        <w:rPr>
          <w:b/>
        </w:rPr>
        <w:t xml:space="preserve"> </w:t>
      </w:r>
      <w:r w:rsidR="0004307E" w:rsidRPr="00FB1917">
        <w:t xml:space="preserve">For this </w:t>
      </w:r>
      <w:r w:rsidR="0004307E">
        <w:t>portion of the PD series</w:t>
      </w:r>
      <w:r w:rsidR="0004307E" w:rsidRPr="00FB1917">
        <w:t>, we’ll focus on in-person delivery.</w:t>
      </w:r>
    </w:p>
    <w:p w:rsidR="0004307E" w:rsidRPr="00FB1917" w:rsidRDefault="0004307E" w:rsidP="0004307E"/>
    <w:p w:rsidR="00386C31" w:rsidRPr="00FB1917" w:rsidRDefault="00386C31" w:rsidP="00386C31">
      <w:r>
        <w:t xml:space="preserve">Here is a </w:t>
      </w:r>
      <w:r w:rsidRPr="00FB1917">
        <w:t xml:space="preserve">sneak preview of the next course in the series: </w:t>
      </w:r>
      <w:r w:rsidRPr="00FB1917">
        <w:rPr>
          <w:iCs/>
        </w:rPr>
        <w:t xml:space="preserve">we’ll </w:t>
      </w:r>
      <w:r>
        <w:rPr>
          <w:iCs/>
        </w:rPr>
        <w:t>go</w:t>
      </w:r>
      <w:r w:rsidRPr="00FB1917">
        <w:rPr>
          <w:iCs/>
        </w:rPr>
        <w:t xml:space="preserve"> into online delivery techniques</w:t>
      </w:r>
      <w:r w:rsidRPr="00FB1917">
        <w:t xml:space="preserve"> in </w:t>
      </w:r>
      <w:r w:rsidRPr="00FB1917">
        <w:rPr>
          <w:iCs/>
        </w:rPr>
        <w:t>“</w:t>
      </w:r>
      <w:r>
        <w:rPr>
          <w:i/>
          <w:iCs/>
        </w:rPr>
        <w:t>From Basic to Dynamic</w:t>
      </w:r>
      <w:r w:rsidRPr="00FB1917">
        <w:rPr>
          <w:i/>
          <w:iCs/>
        </w:rPr>
        <w:t>.</w:t>
      </w:r>
      <w:r w:rsidRPr="00FB1917">
        <w:rPr>
          <w:iCs/>
        </w:rPr>
        <w:t>”</w:t>
      </w:r>
    </w:p>
    <w:p w:rsidR="0004307E" w:rsidRPr="00FB1917" w:rsidRDefault="0004307E" w:rsidP="0004307E"/>
    <w:p w:rsidR="00386C31" w:rsidRPr="00FB1917" w:rsidRDefault="00386C31" w:rsidP="00386C31">
      <w:r>
        <w:t xml:space="preserve">But first, let’s talk about </w:t>
      </w:r>
      <w:r w:rsidRPr="00FB1917">
        <w:t>adult learning principles</w:t>
      </w:r>
      <w:r>
        <w:t xml:space="preserve"> because i</w:t>
      </w:r>
      <w:r w:rsidRPr="00FB1917">
        <w:t>t is so important to incorporate these principles to enhance learning.</w:t>
      </w:r>
    </w:p>
    <w:p w:rsidR="00386C31" w:rsidRPr="00FB1917" w:rsidRDefault="00386C31" w:rsidP="00386C31"/>
    <w:p w:rsidR="00386C31" w:rsidRPr="00FB1917" w:rsidRDefault="00386C31" w:rsidP="00386C31">
      <w:r w:rsidRPr="008A77A3">
        <w:rPr>
          <w:b/>
          <w:color w:val="E36C0A" w:themeColor="accent6" w:themeShade="BF"/>
        </w:rPr>
        <w:lastRenderedPageBreak/>
        <w:t>M</w:t>
      </w:r>
      <w:r w:rsidR="008A77A3" w:rsidRPr="008A77A3">
        <w:rPr>
          <w:b/>
          <w:color w:val="E36C0A" w:themeColor="accent6" w:themeShade="BF"/>
        </w:rPr>
        <w:t>elissa</w:t>
      </w:r>
      <w:r w:rsidRPr="008A77A3">
        <w:rPr>
          <w:b/>
          <w:color w:val="E36C0A" w:themeColor="accent6" w:themeShade="BF"/>
        </w:rPr>
        <w:t>:</w:t>
      </w:r>
      <w:r w:rsidRPr="00FB1917">
        <w:rPr>
          <w:color w:val="E36C0A" w:themeColor="accent6" w:themeShade="BF"/>
        </w:rPr>
        <w:t xml:space="preserve"> Adult learning theory has been around since the </w:t>
      </w:r>
      <w:r>
        <w:rPr>
          <w:color w:val="E36C0A" w:themeColor="accent6" w:themeShade="BF"/>
        </w:rPr>
        <w:t>19</w:t>
      </w:r>
      <w:r w:rsidRPr="00FB1917">
        <w:rPr>
          <w:color w:val="E36C0A" w:themeColor="accent6" w:themeShade="BF"/>
        </w:rPr>
        <w:t>70’s. While the principles may vary in phrasing, they have remained consistent in substance.</w:t>
      </w:r>
    </w:p>
    <w:p w:rsidR="00386C31" w:rsidRPr="00FB1917" w:rsidRDefault="00386C31" w:rsidP="00386C31"/>
    <w:p w:rsidR="00386C31" w:rsidRDefault="008A77A3" w:rsidP="00386C31">
      <w:r w:rsidRPr="00C27EED">
        <w:rPr>
          <w:b/>
        </w:rPr>
        <w:t>Bridget</w:t>
      </w:r>
      <w:r w:rsidRPr="008A77A3">
        <w:rPr>
          <w:b/>
        </w:rPr>
        <w:t>:</w:t>
      </w:r>
      <w:r>
        <w:rPr>
          <w:b/>
        </w:rPr>
        <w:t xml:space="preserve"> </w:t>
      </w:r>
      <w:r w:rsidR="00386C31" w:rsidRPr="00FB1917">
        <w:t>Yes, because they really do work when educators and trainers implement them.</w:t>
      </w:r>
      <w:r w:rsidR="00386C31">
        <w:t xml:space="preserve"> </w:t>
      </w:r>
    </w:p>
    <w:p w:rsidR="00386C31" w:rsidRDefault="00386C31" w:rsidP="00386C31"/>
    <w:p w:rsidR="00386C31" w:rsidRDefault="00386C31" w:rsidP="00386C31">
      <w:r>
        <w:t xml:space="preserve">In Part 1, we talked about keeping adult learning principles in mind during the design phase. Well, it is just as important to incorporate adult learning principles during delivery as well. </w:t>
      </w:r>
    </w:p>
    <w:p w:rsidR="00386C31" w:rsidRDefault="00386C31" w:rsidP="00386C31"/>
    <w:p w:rsidR="00386C31" w:rsidRDefault="00386C31" w:rsidP="00386C31">
      <w:r w:rsidRPr="001541AA">
        <w:t>We talked about building upon previous experience. This may be the most important principle because adults enter any training activity with some level of prior knowledge and significant life experience that impact their perceptions.</w:t>
      </w:r>
    </w:p>
    <w:p w:rsidR="00386C31" w:rsidRDefault="00386C31" w:rsidP="00386C31"/>
    <w:p w:rsidR="00386C31" w:rsidRPr="00A459BC" w:rsidRDefault="00386C31" w:rsidP="00386C31">
      <w:pPr>
        <w:rPr>
          <w:color w:val="E36C0A" w:themeColor="accent6" w:themeShade="BF"/>
        </w:rPr>
      </w:pPr>
      <w:r w:rsidRPr="008A77A3">
        <w:rPr>
          <w:b/>
          <w:color w:val="E36C0A" w:themeColor="accent6" w:themeShade="BF"/>
        </w:rPr>
        <w:t>M</w:t>
      </w:r>
      <w:r w:rsidR="008A77A3" w:rsidRPr="008A77A3">
        <w:rPr>
          <w:b/>
          <w:color w:val="E36C0A" w:themeColor="accent6" w:themeShade="BF"/>
        </w:rPr>
        <w:t>elissa</w:t>
      </w:r>
      <w:r w:rsidRPr="008A77A3">
        <w:rPr>
          <w:b/>
          <w:color w:val="E36C0A" w:themeColor="accent6" w:themeShade="BF"/>
        </w:rPr>
        <w:t>:</w:t>
      </w:r>
      <w:r>
        <w:rPr>
          <w:color w:val="E36C0A" w:themeColor="accent6" w:themeShade="BF"/>
        </w:rPr>
        <w:t xml:space="preserve"> We should capitalize on t</w:t>
      </w:r>
      <w:r w:rsidRPr="00A459BC">
        <w:rPr>
          <w:color w:val="E36C0A" w:themeColor="accent6" w:themeShade="BF"/>
        </w:rPr>
        <w:t>hat rich experience. Drawing out prior experiences sometimes uncovers inaccurate information that people think is correct. This is the largest impediment to new learning!</w:t>
      </w:r>
    </w:p>
    <w:p w:rsidR="00386C31" w:rsidRDefault="00386C31" w:rsidP="00386C31"/>
    <w:p w:rsidR="00386C31" w:rsidRDefault="008A77A3" w:rsidP="00386C31">
      <w:r w:rsidRPr="00C27EED">
        <w:rPr>
          <w:b/>
        </w:rPr>
        <w:t>Bridget</w:t>
      </w:r>
      <w:r w:rsidRPr="008A77A3">
        <w:rPr>
          <w:b/>
        </w:rPr>
        <w:t>:</w:t>
      </w:r>
      <w:r w:rsidR="00386C31">
        <w:t xml:space="preserve"> Excellent point! We also talked about creating a safe and supportive environment. Learning new stuff can be a vulnerable experience, so a great delivery technique is to support learning with low-risk activities, presented in a strategic sequence.</w:t>
      </w:r>
    </w:p>
    <w:p w:rsidR="00386C31" w:rsidRDefault="00386C31" w:rsidP="00386C31"/>
    <w:p w:rsidR="00386C31" w:rsidRDefault="00386C31" w:rsidP="00386C31">
      <w:r w:rsidRPr="008A77A3">
        <w:rPr>
          <w:b/>
          <w:color w:val="E36C0A" w:themeColor="accent6" w:themeShade="BF"/>
        </w:rPr>
        <w:t>M</w:t>
      </w:r>
      <w:r w:rsidR="008A77A3" w:rsidRPr="008A77A3">
        <w:rPr>
          <w:b/>
          <w:color w:val="E36C0A" w:themeColor="accent6" w:themeShade="BF"/>
        </w:rPr>
        <w:t>elissa</w:t>
      </w:r>
      <w:r w:rsidRPr="008A77A3">
        <w:rPr>
          <w:b/>
          <w:color w:val="E36C0A" w:themeColor="accent6" w:themeShade="BF"/>
        </w:rPr>
        <w:t>:</w:t>
      </w:r>
      <w:r w:rsidRPr="003D5578">
        <w:rPr>
          <w:color w:val="E36C0A" w:themeColor="accent6" w:themeShade="BF"/>
        </w:rPr>
        <w:t xml:space="preserve"> Like</w:t>
      </w:r>
      <w:r>
        <w:rPr>
          <w:color w:val="E36C0A" w:themeColor="accent6" w:themeShade="BF"/>
        </w:rPr>
        <w:t xml:space="preserve"> going from</w:t>
      </w:r>
      <w:r w:rsidRPr="003D5578">
        <w:rPr>
          <w:color w:val="E36C0A" w:themeColor="accent6" w:themeShade="BF"/>
        </w:rPr>
        <w:t xml:space="preserve"> simple to complex</w:t>
      </w:r>
      <w:r>
        <w:rPr>
          <w:color w:val="E36C0A" w:themeColor="accent6" w:themeShade="BF"/>
        </w:rPr>
        <w:t xml:space="preserve"> concepts</w:t>
      </w:r>
      <w:r w:rsidRPr="003D5578">
        <w:rPr>
          <w:color w:val="E36C0A" w:themeColor="accent6" w:themeShade="BF"/>
        </w:rPr>
        <w:t xml:space="preserve">, or </w:t>
      </w:r>
      <w:r>
        <w:rPr>
          <w:color w:val="E36C0A" w:themeColor="accent6" w:themeShade="BF"/>
        </w:rPr>
        <w:t>doing</w:t>
      </w:r>
      <w:r w:rsidRPr="003D5578">
        <w:rPr>
          <w:color w:val="E36C0A" w:themeColor="accent6" w:themeShade="BF"/>
        </w:rPr>
        <w:t xml:space="preserve"> group </w:t>
      </w:r>
      <w:r>
        <w:rPr>
          <w:color w:val="E36C0A" w:themeColor="accent6" w:themeShade="BF"/>
        </w:rPr>
        <w:t>activities before flying</w:t>
      </w:r>
      <w:r w:rsidRPr="003D5578">
        <w:rPr>
          <w:color w:val="E36C0A" w:themeColor="accent6" w:themeShade="BF"/>
        </w:rPr>
        <w:t xml:space="preserve"> solo.</w:t>
      </w:r>
    </w:p>
    <w:p w:rsidR="00386C31" w:rsidRDefault="00386C31" w:rsidP="00386C31"/>
    <w:p w:rsidR="00386C31" w:rsidRDefault="008A77A3" w:rsidP="00386C31">
      <w:r w:rsidRPr="00C27EED">
        <w:rPr>
          <w:b/>
        </w:rPr>
        <w:t>Bridget</w:t>
      </w:r>
      <w:r w:rsidRPr="008A77A3">
        <w:rPr>
          <w:b/>
        </w:rPr>
        <w:t>:</w:t>
      </w:r>
      <w:r>
        <w:t xml:space="preserve"> </w:t>
      </w:r>
      <w:r w:rsidR="00386C31">
        <w:t>Yes! The last item I want to go over again is the opportunity to practice. It is so important for adults to be able to practice the new skill learned because that is what increases the likelihood of behavior change.</w:t>
      </w:r>
    </w:p>
    <w:p w:rsidR="00386C31" w:rsidRDefault="00386C31" w:rsidP="00386C31"/>
    <w:p w:rsidR="00386C31" w:rsidRDefault="00386C31" w:rsidP="00386C31">
      <w:r w:rsidRPr="008A77A3">
        <w:rPr>
          <w:b/>
          <w:color w:val="E36C0A" w:themeColor="accent6" w:themeShade="BF"/>
        </w:rPr>
        <w:t>M</w:t>
      </w:r>
      <w:r w:rsidR="008A77A3" w:rsidRPr="008A77A3">
        <w:rPr>
          <w:b/>
          <w:color w:val="E36C0A" w:themeColor="accent6" w:themeShade="BF"/>
        </w:rPr>
        <w:t>elissa</w:t>
      </w:r>
      <w:r w:rsidRPr="003D5578">
        <w:rPr>
          <w:color w:val="E36C0A" w:themeColor="accent6" w:themeShade="BF"/>
        </w:rPr>
        <w:t>: Yes</w:t>
      </w:r>
      <w:r>
        <w:rPr>
          <w:color w:val="E36C0A" w:themeColor="accent6" w:themeShade="BF"/>
        </w:rPr>
        <w:t>, learning activities move</w:t>
      </w:r>
      <w:r w:rsidRPr="003D5578">
        <w:rPr>
          <w:color w:val="E36C0A" w:themeColor="accent6" w:themeShade="BF"/>
        </w:rPr>
        <w:t xml:space="preserve"> the participants beyond </w:t>
      </w:r>
      <w:r>
        <w:rPr>
          <w:color w:val="E36C0A" w:themeColor="accent6" w:themeShade="BF"/>
        </w:rPr>
        <w:t xml:space="preserve">the </w:t>
      </w:r>
      <w:r w:rsidRPr="003D5578">
        <w:rPr>
          <w:color w:val="E36C0A" w:themeColor="accent6" w:themeShade="BF"/>
        </w:rPr>
        <w:t>cognitive learning</w:t>
      </w:r>
      <w:r>
        <w:rPr>
          <w:color w:val="E36C0A" w:themeColor="accent6" w:themeShade="BF"/>
        </w:rPr>
        <w:t xml:space="preserve"> skills of integrating new information intellectually. Activities foster exploration to enhance learning.</w:t>
      </w:r>
    </w:p>
    <w:p w:rsidR="00386C31" w:rsidRDefault="00386C31" w:rsidP="00386C31"/>
    <w:p w:rsidR="0004307E" w:rsidRPr="00FB1917" w:rsidRDefault="008A77A3" w:rsidP="0004307E">
      <w:r w:rsidRPr="00C27EED">
        <w:rPr>
          <w:b/>
        </w:rPr>
        <w:t>Bridget</w:t>
      </w:r>
      <w:r w:rsidRPr="008A77A3">
        <w:rPr>
          <w:b/>
        </w:rPr>
        <w:t>:</w:t>
      </w:r>
      <w:r>
        <w:t xml:space="preserve"> </w:t>
      </w:r>
      <w:r w:rsidR="00386C31">
        <w:t>Right!</w:t>
      </w:r>
    </w:p>
    <w:p w:rsidR="0004307E" w:rsidRDefault="00386C31" w:rsidP="00A8471D">
      <w:pPr>
        <w:pStyle w:val="Heading3"/>
      </w:pPr>
      <w:r>
        <w:t>Training V</w:t>
      </w:r>
      <w:r w:rsidR="00265D93">
        <w:t>ersus</w:t>
      </w:r>
      <w:r w:rsidR="00626B07">
        <w:t xml:space="preserve"> Facilitation</w:t>
      </w:r>
    </w:p>
    <w:p w:rsidR="0004307E" w:rsidRDefault="00C27EED" w:rsidP="0004307E">
      <w:r w:rsidRPr="00C27EED">
        <w:rPr>
          <w:b/>
        </w:rPr>
        <w:t>Bridget:</w:t>
      </w:r>
      <w:r>
        <w:rPr>
          <w:b/>
        </w:rPr>
        <w:t xml:space="preserve"> </w:t>
      </w:r>
      <w:r w:rsidR="0004307E">
        <w:t>The</w:t>
      </w:r>
      <w:r w:rsidR="00265D93">
        <w:t xml:space="preserve"> </w:t>
      </w:r>
      <w:r w:rsidR="00223712">
        <w:t>difference</w:t>
      </w:r>
      <w:r w:rsidR="0004307E">
        <w:t xml:space="preserve"> between training and facilitation is a grey area, and many people use the two terms interchangeably. But there are distinct differences between the two.</w:t>
      </w:r>
    </w:p>
    <w:p w:rsidR="0004307E" w:rsidRDefault="0004307E" w:rsidP="0004307E"/>
    <w:p w:rsidR="0004307E" w:rsidRDefault="0004307E" w:rsidP="0004307E">
      <w:r>
        <w:t>Training involves moving from unknowns to knowns to meet objectives that were established beforehand. It focuses on a specific set of skills or knowledge that can be applied in the workplace. Both outcomes and steps to meet the objectives are determined before training begins.</w:t>
      </w:r>
    </w:p>
    <w:p w:rsidR="0004307E" w:rsidRDefault="0004307E" w:rsidP="0004307E"/>
    <w:p w:rsidR="0004307E" w:rsidRPr="007C5C00" w:rsidRDefault="00BF7638" w:rsidP="0004307E">
      <w:pPr>
        <w:rPr>
          <w:color w:val="E36C0A" w:themeColor="accent6" w:themeShade="BF"/>
        </w:rPr>
      </w:pPr>
      <w:r w:rsidRPr="00BF7638">
        <w:rPr>
          <w:b/>
          <w:color w:val="E36C0A" w:themeColor="accent6" w:themeShade="BF"/>
        </w:rPr>
        <w:t>Melissa</w:t>
      </w:r>
      <w:r>
        <w:rPr>
          <w:color w:val="E36C0A" w:themeColor="accent6" w:themeShade="BF"/>
        </w:rPr>
        <w:t xml:space="preserve">: </w:t>
      </w:r>
      <w:r w:rsidR="0004307E" w:rsidRPr="007C5C00">
        <w:rPr>
          <w:color w:val="E36C0A" w:themeColor="accent6" w:themeShade="BF"/>
        </w:rPr>
        <w:t xml:space="preserve">Trainers might use a facilitative style where they act as a guide, but if the purpose of the session is for participants to acquire knowledge and skill, </w:t>
      </w:r>
      <w:r w:rsidR="0004307E">
        <w:rPr>
          <w:color w:val="E36C0A" w:themeColor="accent6" w:themeShade="BF"/>
        </w:rPr>
        <w:t>it is</w:t>
      </w:r>
      <w:r w:rsidR="0004307E" w:rsidRPr="007C5C00">
        <w:rPr>
          <w:color w:val="E36C0A" w:themeColor="accent6" w:themeShade="BF"/>
        </w:rPr>
        <w:t xml:space="preserve"> still training.</w:t>
      </w:r>
    </w:p>
    <w:p w:rsidR="0004307E" w:rsidRDefault="0004307E" w:rsidP="0004307E"/>
    <w:p w:rsidR="0004307E" w:rsidRDefault="00C27EED" w:rsidP="0004307E">
      <w:r w:rsidRPr="00C27EED">
        <w:rPr>
          <w:b/>
        </w:rPr>
        <w:t>Bridget:</w:t>
      </w:r>
      <w:r w:rsidR="0004307E">
        <w:t xml:space="preserve"> Absolutely! Facilitation is the exact opposite because it involves moving from the known</w:t>
      </w:r>
      <w:r w:rsidR="00223712">
        <w:t>s</w:t>
      </w:r>
      <w:r w:rsidR="0004307E">
        <w:t xml:space="preserve"> to the unknown</w:t>
      </w:r>
      <w:r w:rsidR="00223712">
        <w:t>s</w:t>
      </w:r>
      <w:r w:rsidR="0004307E">
        <w:t xml:space="preserve">. It is a process where participants start with information about a topic or problem and work toward an outcome. The outcome is not set when the facilitation process begins. Instead, it emerges as the group works on the situation through open discussion in a safe environment. The facilitator creates </w:t>
      </w:r>
      <w:r w:rsidR="0004307E">
        <w:lastRenderedPageBreak/>
        <w:t>the nurturing environment where participants can be honest and where discussion can take place without fear of being bullied or ridiculed.</w:t>
      </w:r>
    </w:p>
    <w:p w:rsidR="0004307E" w:rsidRDefault="0004307E" w:rsidP="0004307E"/>
    <w:p w:rsidR="0004307E" w:rsidRDefault="00BF7638" w:rsidP="0004307E">
      <w:pPr>
        <w:rPr>
          <w:color w:val="E36C0A" w:themeColor="accent6" w:themeShade="BF"/>
        </w:rPr>
      </w:pPr>
      <w:r w:rsidRPr="00BF7638">
        <w:rPr>
          <w:b/>
          <w:color w:val="E36C0A" w:themeColor="accent6" w:themeShade="BF"/>
        </w:rPr>
        <w:t>Melissa</w:t>
      </w:r>
      <w:r w:rsidRPr="00EE2CB0">
        <w:rPr>
          <w:b/>
          <w:color w:val="E36C0A" w:themeColor="accent6" w:themeShade="BF"/>
        </w:rPr>
        <w:t xml:space="preserve">: </w:t>
      </w:r>
      <w:r w:rsidR="0004307E">
        <w:rPr>
          <w:color w:val="E36C0A" w:themeColor="accent6" w:themeShade="BF"/>
        </w:rPr>
        <w:t>S</w:t>
      </w:r>
      <w:r w:rsidR="0004307E" w:rsidRPr="002A0F6F">
        <w:rPr>
          <w:color w:val="E36C0A" w:themeColor="accent6" w:themeShade="BF"/>
        </w:rPr>
        <w:t xml:space="preserve">o, </w:t>
      </w:r>
      <w:r w:rsidR="0004307E">
        <w:rPr>
          <w:color w:val="E36C0A" w:themeColor="accent6" w:themeShade="BF"/>
        </w:rPr>
        <w:t>an example of training might be how to create documents in Excel, while an example of facilitation might be a discussion of which software to use to create the document.</w:t>
      </w:r>
    </w:p>
    <w:p w:rsidR="0004307E" w:rsidRDefault="0004307E" w:rsidP="0004307E">
      <w:pPr>
        <w:rPr>
          <w:color w:val="E36C0A" w:themeColor="accent6" w:themeShade="BF"/>
        </w:rPr>
      </w:pPr>
    </w:p>
    <w:p w:rsidR="0004307E" w:rsidRDefault="0004307E" w:rsidP="0004307E">
      <w:r>
        <w:rPr>
          <w:color w:val="E36C0A" w:themeColor="accent6" w:themeShade="BF"/>
        </w:rPr>
        <w:t>The main distinction between training and facilitating is in attitude. T</w:t>
      </w:r>
      <w:r w:rsidRPr="002A0F6F">
        <w:rPr>
          <w:color w:val="E36C0A" w:themeColor="accent6" w:themeShade="BF"/>
        </w:rPr>
        <w:t xml:space="preserve">rainers operate from a pre-established plan </w:t>
      </w:r>
      <w:r>
        <w:rPr>
          <w:color w:val="E36C0A" w:themeColor="accent6" w:themeShade="BF"/>
        </w:rPr>
        <w:t>to</w:t>
      </w:r>
      <w:r w:rsidRPr="002A0F6F">
        <w:rPr>
          <w:color w:val="E36C0A" w:themeColor="accent6" w:themeShade="BF"/>
        </w:rPr>
        <w:t xml:space="preserve"> direct participants to a specified outcome, while facilitators are driven by the nature of the interactions</w:t>
      </w:r>
      <w:r>
        <w:rPr>
          <w:color w:val="E36C0A" w:themeColor="accent6" w:themeShade="BF"/>
        </w:rPr>
        <w:t xml:space="preserve"> among participants</w:t>
      </w:r>
      <w:r w:rsidRPr="002A0F6F">
        <w:rPr>
          <w:color w:val="E36C0A" w:themeColor="accent6" w:themeShade="BF"/>
        </w:rPr>
        <w:t>.</w:t>
      </w:r>
    </w:p>
    <w:p w:rsidR="0004307E" w:rsidRDefault="0004307E" w:rsidP="0004307E"/>
    <w:p w:rsidR="0004307E" w:rsidRDefault="00C27EED" w:rsidP="0004307E">
      <w:r w:rsidRPr="00C27EED">
        <w:rPr>
          <w:b/>
        </w:rPr>
        <w:t>Bridget:</w:t>
      </w:r>
      <w:r w:rsidR="00FD35D0">
        <w:rPr>
          <w:b/>
        </w:rPr>
        <w:t xml:space="preserve"> </w:t>
      </w:r>
      <w:r w:rsidR="0004307E">
        <w:t>Yes, other distinctions are noted on this chart.</w:t>
      </w:r>
    </w:p>
    <w:p w:rsidR="00DB366D" w:rsidRDefault="00DB366D" w:rsidP="0004307E"/>
    <w:p w:rsidR="00DB366D" w:rsidRPr="00DB366D" w:rsidRDefault="00DB366D" w:rsidP="0004307E">
      <w:pPr>
        <w:rPr>
          <w:i/>
        </w:rPr>
      </w:pPr>
      <w:r w:rsidRPr="00DB366D">
        <w:rPr>
          <w:i/>
        </w:rPr>
        <w:t>[Chart of distinctions between training and facilitating]</w:t>
      </w:r>
    </w:p>
    <w:p w:rsidR="0004307E" w:rsidRDefault="00626B07" w:rsidP="00A8471D">
      <w:pPr>
        <w:pStyle w:val="Heading3"/>
      </w:pPr>
      <w:r>
        <w:t>Characteristics of Effective Delivery</w:t>
      </w:r>
    </w:p>
    <w:p w:rsidR="0004307E" w:rsidRDefault="00C27EED" w:rsidP="0004307E">
      <w:r w:rsidRPr="00C27EED">
        <w:rPr>
          <w:b/>
        </w:rPr>
        <w:t>Bridget:</w:t>
      </w:r>
      <w:r>
        <w:rPr>
          <w:b/>
        </w:rPr>
        <w:t xml:space="preserve"> </w:t>
      </w:r>
      <w:r w:rsidR="0004307E">
        <w:t>The delivery for in-person sessions can be the difference between an engaging or sleep-inducing event, whether it is training or facilitation.</w:t>
      </w:r>
    </w:p>
    <w:p w:rsidR="0004307E" w:rsidRDefault="0004307E" w:rsidP="0004307E"/>
    <w:p w:rsidR="0004307E" w:rsidRDefault="0004307E" w:rsidP="0004307E">
      <w:r>
        <w:t>To re-energize participants during training, you can:</w:t>
      </w:r>
    </w:p>
    <w:p w:rsidR="0004307E" w:rsidRDefault="0004307E" w:rsidP="00DB366D">
      <w:pPr>
        <w:pStyle w:val="ListParagraph"/>
        <w:numPr>
          <w:ilvl w:val="0"/>
          <w:numId w:val="23"/>
        </w:numPr>
        <w:ind w:left="720"/>
      </w:pPr>
      <w:r>
        <w:t xml:space="preserve">Take a break. Do an energizer or an activity, alternating between activity, instruction, and discussion. </w:t>
      </w:r>
    </w:p>
    <w:p w:rsidR="0004307E" w:rsidRDefault="0004307E" w:rsidP="0004307E">
      <w:pPr>
        <w:pStyle w:val="ListParagraph"/>
        <w:ind w:left="360"/>
      </w:pPr>
    </w:p>
    <w:p w:rsidR="0004307E" w:rsidRPr="009A5578" w:rsidRDefault="00FD35D0" w:rsidP="00FD35D0">
      <w:pPr>
        <w:pStyle w:val="ListParagraph"/>
        <w:ind w:left="0"/>
        <w:rPr>
          <w:color w:val="E36C0A" w:themeColor="accent6" w:themeShade="BF"/>
        </w:rPr>
      </w:pPr>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3117A1">
        <w:rPr>
          <w:color w:val="E36C0A" w:themeColor="accent6" w:themeShade="BF"/>
        </w:rPr>
        <w:t>Physical a</w:t>
      </w:r>
      <w:r w:rsidR="0004307E" w:rsidRPr="009A5578">
        <w:rPr>
          <w:color w:val="E36C0A" w:themeColor="accent6" w:themeShade="BF"/>
        </w:rPr>
        <w:t>ctivity breaks are perfect to do!</w:t>
      </w:r>
    </w:p>
    <w:p w:rsidR="0004307E" w:rsidRDefault="0004307E" w:rsidP="00BF7638"/>
    <w:p w:rsidR="0004307E" w:rsidRDefault="00BF7638" w:rsidP="00DB366D">
      <w:r w:rsidRPr="00C27EED">
        <w:rPr>
          <w:b/>
        </w:rPr>
        <w:t>Bridget:</w:t>
      </w:r>
      <w:r w:rsidR="00DB366D">
        <w:t xml:space="preserve"> </w:t>
      </w:r>
      <w:r w:rsidR="0004307E">
        <w:t>Break into pairs for a change of pace from whole-group discussion.</w:t>
      </w:r>
    </w:p>
    <w:p w:rsidR="0004307E" w:rsidRDefault="0004307E" w:rsidP="0004307E">
      <w:pPr>
        <w:pStyle w:val="ListParagraph"/>
        <w:ind w:left="360"/>
      </w:pPr>
    </w:p>
    <w:p w:rsidR="0004307E" w:rsidRPr="009A5578" w:rsidRDefault="00FD35D0" w:rsidP="00FD35D0">
      <w:pPr>
        <w:pStyle w:val="ListParagraph"/>
        <w:ind w:left="0"/>
        <w:rPr>
          <w:color w:val="E36C0A" w:themeColor="accent6" w:themeShade="BF"/>
        </w:rPr>
      </w:pPr>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04307E" w:rsidRPr="009A5578">
        <w:rPr>
          <w:color w:val="E36C0A" w:themeColor="accent6" w:themeShade="BF"/>
        </w:rPr>
        <w:t>Think; Pair; Share is a good activity. This is where participants</w:t>
      </w:r>
      <w:r w:rsidR="0004307E">
        <w:rPr>
          <w:color w:val="E36C0A" w:themeColor="accent6" w:themeShade="BF"/>
        </w:rPr>
        <w:t xml:space="preserve"> think individually about a topic</w:t>
      </w:r>
      <w:r w:rsidR="00DB366D">
        <w:rPr>
          <w:color w:val="E36C0A" w:themeColor="accent6" w:themeShade="BF"/>
        </w:rPr>
        <w:t>,</w:t>
      </w:r>
      <w:r w:rsidR="0004307E">
        <w:rPr>
          <w:color w:val="E36C0A" w:themeColor="accent6" w:themeShade="BF"/>
        </w:rPr>
        <w:t xml:space="preserve"> then collaborate in pairs to </w:t>
      </w:r>
      <w:r w:rsidR="0004307E" w:rsidRPr="009A5578">
        <w:rPr>
          <w:color w:val="E36C0A" w:themeColor="accent6" w:themeShade="BF"/>
        </w:rPr>
        <w:t xml:space="preserve">share </w:t>
      </w:r>
      <w:r w:rsidR="0004307E">
        <w:rPr>
          <w:color w:val="E36C0A" w:themeColor="accent6" w:themeShade="BF"/>
        </w:rPr>
        <w:t>ideas</w:t>
      </w:r>
      <w:r w:rsidR="0004307E" w:rsidRPr="009A5578">
        <w:rPr>
          <w:color w:val="E36C0A" w:themeColor="accent6" w:themeShade="BF"/>
        </w:rPr>
        <w:t>.</w:t>
      </w:r>
    </w:p>
    <w:p w:rsidR="0004307E" w:rsidRDefault="0004307E" w:rsidP="0004307E"/>
    <w:p w:rsidR="0004307E" w:rsidRDefault="00BF7638" w:rsidP="0004307E">
      <w:r w:rsidRPr="00C27EED">
        <w:rPr>
          <w:b/>
        </w:rPr>
        <w:t>Bridget:</w:t>
      </w:r>
      <w:r>
        <w:rPr>
          <w:b/>
        </w:rPr>
        <w:t xml:space="preserve"> </w:t>
      </w:r>
      <w:r w:rsidR="0004307E">
        <w:t>A tip to keep things moving during facilitated sessions is redirecting conversations and moving on to something else when participants become too involved in either the abstract or too much detail.</w:t>
      </w:r>
    </w:p>
    <w:p w:rsidR="0004307E" w:rsidRDefault="0004307E" w:rsidP="0004307E"/>
    <w:p w:rsidR="0004307E" w:rsidRDefault="00FD35D0" w:rsidP="0004307E">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04307E" w:rsidRPr="00374996">
        <w:rPr>
          <w:color w:val="E36C0A" w:themeColor="accent6" w:themeShade="BF"/>
        </w:rPr>
        <w:t>You can park the matter in a “parking lot,” “bike rack,” or something similar to return to the topic when participants are fresher.</w:t>
      </w:r>
    </w:p>
    <w:p w:rsidR="0004307E" w:rsidRDefault="0004307E" w:rsidP="0004307E"/>
    <w:p w:rsidR="0004307E" w:rsidRDefault="00BF7638" w:rsidP="0004307E">
      <w:r w:rsidRPr="00C27EED">
        <w:rPr>
          <w:b/>
        </w:rPr>
        <w:t>Bridget:</w:t>
      </w:r>
      <w:r w:rsidR="0004307E">
        <w:t xml:space="preserve"> That’s right. Let’s talk very briefly about team-teaching or co-facilitating. It’s always a good idea to know each other’s styles and rehearse before your event, if possible. Beyond that, it is important to:</w:t>
      </w:r>
    </w:p>
    <w:p w:rsidR="0004307E" w:rsidRDefault="0004307E" w:rsidP="00386C31">
      <w:pPr>
        <w:pStyle w:val="ListParagraph"/>
        <w:numPr>
          <w:ilvl w:val="0"/>
          <w:numId w:val="23"/>
        </w:numPr>
        <w:ind w:left="720"/>
      </w:pPr>
      <w:r>
        <w:t>Clarify roles and expectations.</w:t>
      </w:r>
    </w:p>
    <w:p w:rsidR="0004307E" w:rsidRDefault="0004307E" w:rsidP="00386C31">
      <w:pPr>
        <w:pStyle w:val="ListParagraph"/>
        <w:numPr>
          <w:ilvl w:val="0"/>
          <w:numId w:val="23"/>
        </w:numPr>
        <w:ind w:left="720"/>
      </w:pPr>
      <w:r>
        <w:t>Agree on when and how to give feedback to each other.</w:t>
      </w:r>
    </w:p>
    <w:p w:rsidR="0004307E" w:rsidRDefault="0004307E" w:rsidP="00386C31">
      <w:pPr>
        <w:pStyle w:val="ListParagraph"/>
        <w:numPr>
          <w:ilvl w:val="0"/>
          <w:numId w:val="23"/>
        </w:numPr>
        <w:ind w:left="720"/>
      </w:pPr>
      <w:r>
        <w:t>Develop communication signals.</w:t>
      </w:r>
    </w:p>
    <w:p w:rsidR="0004307E" w:rsidRDefault="0004307E" w:rsidP="0004307E"/>
    <w:p w:rsidR="0004307E" w:rsidRDefault="00FD35D0" w:rsidP="0004307E">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04307E" w:rsidRPr="00D07A37">
        <w:rPr>
          <w:color w:val="E36C0A" w:themeColor="accent6" w:themeShade="BF"/>
        </w:rPr>
        <w:t>It’s</w:t>
      </w:r>
      <w:r w:rsidR="0004307E">
        <w:rPr>
          <w:color w:val="E36C0A" w:themeColor="accent6" w:themeShade="BF"/>
        </w:rPr>
        <w:t xml:space="preserve"> also</w:t>
      </w:r>
      <w:r w:rsidR="0004307E" w:rsidRPr="00D07A37">
        <w:rPr>
          <w:color w:val="E36C0A" w:themeColor="accent6" w:themeShade="BF"/>
        </w:rPr>
        <w:t xml:space="preserve"> important to recognize that things could go wrong. </w:t>
      </w:r>
      <w:r w:rsidR="00223712">
        <w:rPr>
          <w:color w:val="E36C0A" w:themeColor="accent6" w:themeShade="BF"/>
        </w:rPr>
        <w:t>An</w:t>
      </w:r>
      <w:r w:rsidR="0004307E" w:rsidRPr="00D07A37">
        <w:rPr>
          <w:color w:val="E36C0A" w:themeColor="accent6" w:themeShade="BF"/>
        </w:rPr>
        <w:t xml:space="preserve"> </w:t>
      </w:r>
      <w:r w:rsidR="0004307E">
        <w:rPr>
          <w:color w:val="E36C0A" w:themeColor="accent6" w:themeShade="BF"/>
        </w:rPr>
        <w:t xml:space="preserve">instructor or </w:t>
      </w:r>
      <w:r w:rsidR="0004307E" w:rsidRPr="00D07A37">
        <w:rPr>
          <w:color w:val="E36C0A" w:themeColor="accent6" w:themeShade="BF"/>
        </w:rPr>
        <w:t>facilitat</w:t>
      </w:r>
      <w:r w:rsidR="00DB366D">
        <w:rPr>
          <w:color w:val="E36C0A" w:themeColor="accent6" w:themeShade="BF"/>
        </w:rPr>
        <w:t>or may need to intervene if it’</w:t>
      </w:r>
      <w:r w:rsidR="0004307E" w:rsidRPr="00D07A37">
        <w:rPr>
          <w:color w:val="E36C0A" w:themeColor="accent6" w:themeShade="BF"/>
        </w:rPr>
        <w:t>s apparent that the co-facilitator is hindering the process.</w:t>
      </w:r>
    </w:p>
    <w:p w:rsidR="0004307E" w:rsidRDefault="0004307E" w:rsidP="0004307E"/>
    <w:p w:rsidR="0004307E" w:rsidRDefault="00BF7638" w:rsidP="0004307E">
      <w:r w:rsidRPr="00C27EED">
        <w:rPr>
          <w:b/>
        </w:rPr>
        <w:t>Bridget:</w:t>
      </w:r>
      <w:r w:rsidR="0004307E">
        <w:t xml:space="preserve"> If you have open and honest communica</w:t>
      </w:r>
      <w:r w:rsidR="00DB366D">
        <w:t>tion in advance about how you’</w:t>
      </w:r>
      <w:r w:rsidR="0004307E">
        <w:t xml:space="preserve">ll handle </w:t>
      </w:r>
      <w:r w:rsidR="00DB366D">
        <w:t>conflict with each other, you’</w:t>
      </w:r>
      <w:r w:rsidR="0004307E">
        <w:t>ll be better prepared to address the situation if it does happen. We have provided a “</w:t>
      </w:r>
      <w:r w:rsidR="0004307E" w:rsidRPr="006D31CB">
        <w:rPr>
          <w:i/>
        </w:rPr>
        <w:t>Co-Facilitator Checklist</w:t>
      </w:r>
      <w:r w:rsidR="0004307E">
        <w:t>” that you might find helpful.</w:t>
      </w:r>
    </w:p>
    <w:p w:rsidR="0004307E" w:rsidRDefault="0004307E" w:rsidP="0004307E"/>
    <w:p w:rsidR="0004307E" w:rsidRDefault="00FD35D0" w:rsidP="0004307E">
      <w:r w:rsidRPr="00FD35D0">
        <w:rPr>
          <w:b/>
          <w:color w:val="E36C0A" w:themeColor="accent6" w:themeShade="BF"/>
        </w:rPr>
        <w:t>Melissa</w:t>
      </w:r>
      <w:r w:rsidR="00BF7638" w:rsidRPr="00EE2CB0">
        <w:rPr>
          <w:b/>
          <w:color w:val="E36C0A" w:themeColor="accent6" w:themeShade="BF"/>
        </w:rPr>
        <w:t xml:space="preserve">: </w:t>
      </w:r>
      <w:r w:rsidR="0004307E" w:rsidRPr="00822AD2">
        <w:rPr>
          <w:color w:val="E36C0A" w:themeColor="accent6" w:themeShade="BF"/>
        </w:rPr>
        <w:t>That’s a great tool</w:t>
      </w:r>
      <w:r w:rsidR="0004307E">
        <w:rPr>
          <w:color w:val="E36C0A" w:themeColor="accent6" w:themeShade="BF"/>
        </w:rPr>
        <w:t>,</w:t>
      </w:r>
      <w:r w:rsidR="0004307E" w:rsidRPr="00822AD2">
        <w:rPr>
          <w:color w:val="E36C0A" w:themeColor="accent6" w:themeShade="BF"/>
        </w:rPr>
        <w:t xml:space="preserve"> whether you are a trainer or a facilitator!</w:t>
      </w:r>
    </w:p>
    <w:p w:rsidR="0004307E" w:rsidRDefault="00626B07" w:rsidP="00A8471D">
      <w:pPr>
        <w:pStyle w:val="Heading3"/>
      </w:pPr>
      <w:r>
        <w:t>Key Strategies</w:t>
      </w:r>
    </w:p>
    <w:p w:rsidR="0004307E" w:rsidRPr="00C62623" w:rsidRDefault="00BF7638" w:rsidP="0004307E">
      <w:pPr>
        <w:rPr>
          <w:iCs/>
        </w:rPr>
      </w:pPr>
      <w:r w:rsidRPr="00C27EED">
        <w:rPr>
          <w:b/>
        </w:rPr>
        <w:t>Bridget:</w:t>
      </w:r>
      <w:r>
        <w:rPr>
          <w:b/>
        </w:rPr>
        <w:t xml:space="preserve"> </w:t>
      </w:r>
      <w:r w:rsidR="0004307E">
        <w:rPr>
          <w:iCs/>
        </w:rPr>
        <w:t>Overall, important s</w:t>
      </w:r>
      <w:r w:rsidR="0004307E" w:rsidRPr="00C62623">
        <w:rPr>
          <w:iCs/>
        </w:rPr>
        <w:t xml:space="preserve">trategies to </w:t>
      </w:r>
      <w:r w:rsidR="0004307E">
        <w:rPr>
          <w:iCs/>
        </w:rPr>
        <w:t>keep in mind when delivering training are:</w:t>
      </w:r>
    </w:p>
    <w:p w:rsidR="0004307E" w:rsidRPr="005D7CA7" w:rsidRDefault="0004307E" w:rsidP="0004307E">
      <w:pPr>
        <w:pStyle w:val="ListParagraph"/>
        <w:numPr>
          <w:ilvl w:val="0"/>
          <w:numId w:val="24"/>
        </w:numPr>
      </w:pPr>
      <w:r>
        <w:t>Provide an e</w:t>
      </w:r>
      <w:r w:rsidRPr="005D7CA7">
        <w:t xml:space="preserve">nvironment conducive </w:t>
      </w:r>
      <w:r>
        <w:t>to</w:t>
      </w:r>
      <w:r w:rsidRPr="005D7CA7">
        <w:t xml:space="preserve"> learning</w:t>
      </w:r>
      <w:r>
        <w:t>, such as a conversation circle where everyone can see each other and not have barriers like desks or tables in front of them.</w:t>
      </w:r>
    </w:p>
    <w:p w:rsidR="0004307E" w:rsidRPr="005D7CA7" w:rsidRDefault="0004307E" w:rsidP="0004307E">
      <w:pPr>
        <w:pStyle w:val="ListParagraph"/>
        <w:numPr>
          <w:ilvl w:val="0"/>
          <w:numId w:val="24"/>
        </w:numPr>
      </w:pPr>
      <w:r w:rsidRPr="005D7CA7">
        <w:t>Use qualified pro</w:t>
      </w:r>
      <w:r>
        <w:t>fessional development providers if you are not facilitating your own PD event.</w:t>
      </w:r>
    </w:p>
    <w:p w:rsidR="0004307E" w:rsidRDefault="0004307E" w:rsidP="0004307E">
      <w:pPr>
        <w:pStyle w:val="ListParagraph"/>
        <w:numPr>
          <w:ilvl w:val="0"/>
          <w:numId w:val="24"/>
        </w:numPr>
      </w:pPr>
      <w:r w:rsidRPr="005D7CA7">
        <w:t>Co</w:t>
      </w:r>
      <w:r>
        <w:t xml:space="preserve">llect </w:t>
      </w:r>
      <w:r w:rsidRPr="005D7CA7">
        <w:t>evaluation data</w:t>
      </w:r>
      <w:r>
        <w:t>.</w:t>
      </w:r>
    </w:p>
    <w:p w:rsidR="0004307E" w:rsidRDefault="0004307E" w:rsidP="0004307E"/>
    <w:p w:rsidR="00386C31" w:rsidRDefault="0004307E" w:rsidP="00386C31">
      <w:r>
        <w:t>Remember, the detailed list of strategies is available under Additional Resources.</w:t>
      </w:r>
      <w:r w:rsidR="00386C31">
        <w:t xml:space="preserve"> </w:t>
      </w:r>
      <w:r w:rsidR="00386C31" w:rsidRPr="001541AA">
        <w:t xml:space="preserve">Let’s take a minute to </w:t>
      </w:r>
      <w:r w:rsidR="00386C31">
        <w:t>review what we have discussed about the Deliver practice.</w:t>
      </w:r>
    </w:p>
    <w:p w:rsidR="00386C31" w:rsidRDefault="00386C31" w:rsidP="0004307E"/>
    <w:p w:rsidR="001C7B2A" w:rsidRDefault="001C7B2A" w:rsidP="0004307E">
      <w:pPr>
        <w:rPr>
          <w:i/>
        </w:rPr>
      </w:pPr>
      <w:r w:rsidRPr="00FD35D0">
        <w:rPr>
          <w:i/>
        </w:rPr>
        <w:t>[Learning Activity</w:t>
      </w:r>
      <w:r>
        <w:rPr>
          <w:i/>
        </w:rPr>
        <w:t xml:space="preserve"> 1</w:t>
      </w:r>
      <w:r w:rsidRPr="00FD35D0">
        <w:rPr>
          <w:i/>
        </w:rPr>
        <w:t xml:space="preserve">: </w:t>
      </w:r>
      <w:r>
        <w:rPr>
          <w:i/>
        </w:rPr>
        <w:t>Deliver review</w:t>
      </w:r>
      <w:r w:rsidRPr="00FD35D0">
        <w:rPr>
          <w:i/>
        </w:rPr>
        <w:t>]</w:t>
      </w:r>
    </w:p>
    <w:p w:rsidR="001C7B2A" w:rsidRDefault="001C7B2A" w:rsidP="001C7B2A">
      <w:pPr>
        <w:pStyle w:val="Heading1"/>
      </w:pPr>
      <w:r>
        <w:t>SECTION 4: FOLLOW-UP PRACTICE</w:t>
      </w:r>
    </w:p>
    <w:p w:rsidR="0004307E" w:rsidRDefault="00BF7638" w:rsidP="0004307E">
      <w:r w:rsidRPr="00C27EED">
        <w:rPr>
          <w:b/>
        </w:rPr>
        <w:t>Bridget:</w:t>
      </w:r>
      <w:r>
        <w:rPr>
          <w:b/>
        </w:rPr>
        <w:t xml:space="preserve"> </w:t>
      </w:r>
      <w:r w:rsidR="0004307E">
        <w:t xml:space="preserve">So, that brings us to the fifth PD Practice: Provide </w:t>
      </w:r>
      <w:r w:rsidR="0004307E" w:rsidRPr="00D64255">
        <w:rPr>
          <w:b/>
        </w:rPr>
        <w:t>Follow-Up</w:t>
      </w:r>
      <w:r w:rsidR="0004307E">
        <w:t xml:space="preserve"> Support. It’s not over when your participants walk away after </w:t>
      </w:r>
      <w:r w:rsidR="00265D93">
        <w:t xml:space="preserve">the </w:t>
      </w:r>
      <w:r w:rsidR="0004307E">
        <w:t>PD activity! No, this is when their knowledge and skill level</w:t>
      </w:r>
      <w:r w:rsidR="00223712">
        <w:t>s</w:t>
      </w:r>
      <w:r w:rsidR="0004307E">
        <w:t xml:space="preserve"> will become strengthened because you provide continued, targeted follow-up support.</w:t>
      </w:r>
    </w:p>
    <w:p w:rsidR="0004307E" w:rsidRDefault="0004307E" w:rsidP="0004307E"/>
    <w:p w:rsidR="0004307E" w:rsidRDefault="00FD35D0" w:rsidP="0004307E">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04307E" w:rsidRPr="002C7777">
        <w:rPr>
          <w:color w:val="E36C0A" w:themeColor="accent6" w:themeShade="BF"/>
        </w:rPr>
        <w:t xml:space="preserve">It’s important to point out that </w:t>
      </w:r>
      <w:r w:rsidR="0004307E">
        <w:rPr>
          <w:color w:val="E36C0A" w:themeColor="accent6" w:themeShade="BF"/>
        </w:rPr>
        <w:t>follow-up support</w:t>
      </w:r>
      <w:r w:rsidR="0004307E" w:rsidRPr="002C7777">
        <w:rPr>
          <w:color w:val="E36C0A" w:themeColor="accent6" w:themeShade="BF"/>
        </w:rPr>
        <w:t xml:space="preserve"> does</w:t>
      </w:r>
      <w:r w:rsidR="00223712">
        <w:rPr>
          <w:color w:val="E36C0A" w:themeColor="accent6" w:themeShade="BF"/>
        </w:rPr>
        <w:t xml:space="preserve"> not</w:t>
      </w:r>
      <w:r w:rsidR="0004307E" w:rsidRPr="002C7777">
        <w:rPr>
          <w:color w:val="E36C0A" w:themeColor="accent6" w:themeShade="BF"/>
        </w:rPr>
        <w:t xml:space="preserve"> include any new information, and it’s not just a matter of calling the participants after your event to see if they have any questions.</w:t>
      </w:r>
    </w:p>
    <w:p w:rsidR="0004307E" w:rsidRDefault="0004307E" w:rsidP="0004307E"/>
    <w:p w:rsidR="0004307E" w:rsidRDefault="00BF7638" w:rsidP="0004307E">
      <w:r w:rsidRPr="00C27EED">
        <w:rPr>
          <w:b/>
        </w:rPr>
        <w:t>Bridget:</w:t>
      </w:r>
      <w:r w:rsidR="0004307E">
        <w:t xml:space="preserve"> Absolutely! In fact, support should be systematically planned during the design phase. I used the word “intentional” when I was describing the characteristics of good design; follow-up support should be intentional as well!</w:t>
      </w:r>
    </w:p>
    <w:p w:rsidR="0004307E" w:rsidRDefault="00626B07" w:rsidP="00A8471D">
      <w:pPr>
        <w:pStyle w:val="Heading3"/>
      </w:pPr>
      <w:r>
        <w:t xml:space="preserve">Characteristics of </w:t>
      </w:r>
      <w:r w:rsidR="00C27EED">
        <w:t>Effective</w:t>
      </w:r>
      <w:r>
        <w:t xml:space="preserve"> Follow-Up Support</w:t>
      </w:r>
    </w:p>
    <w:p w:rsidR="0004307E" w:rsidRDefault="00BF7638" w:rsidP="0004307E">
      <w:r w:rsidRPr="00C27EED">
        <w:rPr>
          <w:b/>
        </w:rPr>
        <w:t>Bridget:</w:t>
      </w:r>
      <w:r>
        <w:rPr>
          <w:b/>
        </w:rPr>
        <w:t xml:space="preserve"> </w:t>
      </w:r>
      <w:r w:rsidR="0004307E">
        <w:t xml:space="preserve">A good follow-up support strategy is very </w:t>
      </w:r>
      <w:r w:rsidR="0004307E" w:rsidRPr="00D936D3">
        <w:t xml:space="preserve">important </w:t>
      </w:r>
      <w:r w:rsidR="0004307E">
        <w:t xml:space="preserve">to ensure </w:t>
      </w:r>
      <w:r w:rsidR="0004307E" w:rsidRPr="00D936D3">
        <w:t>transfer of learning</w:t>
      </w:r>
      <w:r w:rsidR="0004307E">
        <w:t>. So, w</w:t>
      </w:r>
      <w:r w:rsidR="00DB366D">
        <w:t>hat’</w:t>
      </w:r>
      <w:r w:rsidR="0004307E" w:rsidRPr="00D936D3">
        <w:t xml:space="preserve">s </w:t>
      </w:r>
      <w:r w:rsidR="0004307E" w:rsidRPr="009E427D">
        <w:rPr>
          <w:b/>
        </w:rPr>
        <w:t>your</w:t>
      </w:r>
      <w:r w:rsidR="0004307E" w:rsidRPr="00D936D3">
        <w:t xml:space="preserve"> follow-up game</w:t>
      </w:r>
      <w:r w:rsidR="0004307E">
        <w:t xml:space="preserve"> plan? Let’s talk about the basic framework of a good game plan.</w:t>
      </w:r>
    </w:p>
    <w:p w:rsidR="0004307E" w:rsidRDefault="0004307E" w:rsidP="0004307E"/>
    <w:p w:rsidR="0004307E" w:rsidRDefault="00FD35D0" w:rsidP="0004307E">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04307E" w:rsidRPr="0015151E">
        <w:rPr>
          <w:color w:val="E36C0A" w:themeColor="accent6" w:themeShade="BF"/>
        </w:rPr>
        <w:t>This pr</w:t>
      </w:r>
      <w:r w:rsidR="00DB366D">
        <w:rPr>
          <w:color w:val="E36C0A" w:themeColor="accent6" w:themeShade="BF"/>
        </w:rPr>
        <w:t>actice is so important that it’</w:t>
      </w:r>
      <w:r w:rsidR="0004307E" w:rsidRPr="0015151E">
        <w:rPr>
          <w:color w:val="E36C0A" w:themeColor="accent6" w:themeShade="BF"/>
        </w:rPr>
        <w:t>s worth noting that t</w:t>
      </w:r>
      <w:r w:rsidR="0004307E">
        <w:rPr>
          <w:color w:val="E36C0A" w:themeColor="accent6" w:themeShade="BF"/>
        </w:rPr>
        <w:t xml:space="preserve">he planning you mentioned that is </w:t>
      </w:r>
      <w:r w:rsidR="0004307E" w:rsidRPr="0015151E">
        <w:rPr>
          <w:color w:val="E36C0A" w:themeColor="accent6" w:themeShade="BF"/>
        </w:rPr>
        <w:t>done during the design phase s</w:t>
      </w:r>
      <w:r w:rsidR="0004307E">
        <w:rPr>
          <w:color w:val="E36C0A" w:themeColor="accent6" w:themeShade="BF"/>
        </w:rPr>
        <w:t>hould include a documented plan for follow-up support.</w:t>
      </w:r>
    </w:p>
    <w:p w:rsidR="0004307E" w:rsidRDefault="0004307E" w:rsidP="0004307E"/>
    <w:p w:rsidR="0004307E" w:rsidRDefault="00BF7638" w:rsidP="0004307E">
      <w:r w:rsidRPr="00C27EED">
        <w:rPr>
          <w:b/>
        </w:rPr>
        <w:t>Bridget:</w:t>
      </w:r>
      <w:r w:rsidR="0004307E">
        <w:t xml:space="preserve"> That’s right. Your </w:t>
      </w:r>
      <w:r w:rsidR="0004307E" w:rsidRPr="00D774AF">
        <w:t>w</w:t>
      </w:r>
      <w:r w:rsidR="0004307E">
        <w:t>ritten Follow-Up Support Plan should have four components that, when put together, provide a complete picture that participants can agree to in advance. These are:</w:t>
      </w:r>
    </w:p>
    <w:p w:rsidR="0004307E" w:rsidRDefault="0004307E" w:rsidP="0004307E"/>
    <w:p w:rsidR="0004307E" w:rsidRDefault="0004307E" w:rsidP="0004307E">
      <w:pPr>
        <w:pStyle w:val="ListParagraph"/>
        <w:numPr>
          <w:ilvl w:val="0"/>
          <w:numId w:val="25"/>
        </w:numPr>
      </w:pPr>
      <w:r>
        <w:t>A summary that includes a brief time</w:t>
      </w:r>
      <w:r w:rsidR="00265D93">
        <w:t xml:space="preserve"> </w:t>
      </w:r>
      <w:r>
        <w:t>line.</w:t>
      </w:r>
    </w:p>
    <w:p w:rsidR="0004307E" w:rsidRDefault="0004307E" w:rsidP="0004307E"/>
    <w:p w:rsidR="0004307E" w:rsidRDefault="00FD35D0" w:rsidP="0004307E">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04307E" w:rsidRPr="001F048E">
        <w:rPr>
          <w:color w:val="E36C0A" w:themeColor="accent6" w:themeShade="BF"/>
        </w:rPr>
        <w:t xml:space="preserve">This </w:t>
      </w:r>
      <w:r w:rsidR="0004307E">
        <w:rPr>
          <w:color w:val="E36C0A" w:themeColor="accent6" w:themeShade="BF"/>
        </w:rPr>
        <w:t>section</w:t>
      </w:r>
      <w:r w:rsidR="0004307E" w:rsidRPr="001F048E">
        <w:rPr>
          <w:color w:val="E36C0A" w:themeColor="accent6" w:themeShade="BF"/>
        </w:rPr>
        <w:t xml:space="preserve"> can be used as a checklist</w:t>
      </w:r>
      <w:r w:rsidR="0004307E">
        <w:rPr>
          <w:color w:val="E36C0A" w:themeColor="accent6" w:themeShade="BF"/>
        </w:rPr>
        <w:t xml:space="preserve"> or even </w:t>
      </w:r>
      <w:r w:rsidR="0004307E" w:rsidRPr="001F048E">
        <w:rPr>
          <w:color w:val="E36C0A" w:themeColor="accent6" w:themeShade="BF"/>
        </w:rPr>
        <w:t xml:space="preserve">shared with your project </w:t>
      </w:r>
      <w:r w:rsidR="0004307E">
        <w:rPr>
          <w:color w:val="E36C0A" w:themeColor="accent6" w:themeShade="BF"/>
        </w:rPr>
        <w:t>officer.</w:t>
      </w:r>
    </w:p>
    <w:p w:rsidR="0004307E" w:rsidRDefault="0004307E" w:rsidP="0004307E"/>
    <w:p w:rsidR="00BF7638" w:rsidRDefault="00BF7638" w:rsidP="0004307E">
      <w:r w:rsidRPr="00C27EED">
        <w:rPr>
          <w:b/>
        </w:rPr>
        <w:t>Bridget:</w:t>
      </w:r>
    </w:p>
    <w:p w:rsidR="0004307E" w:rsidRDefault="0004307E" w:rsidP="0004307E">
      <w:pPr>
        <w:pStyle w:val="ListParagraph"/>
        <w:numPr>
          <w:ilvl w:val="0"/>
          <w:numId w:val="25"/>
        </w:numPr>
      </w:pPr>
      <w:r>
        <w:t>A detailed description of support activities to be conducted before, during, and after your PD event.</w:t>
      </w:r>
    </w:p>
    <w:p w:rsidR="0004307E" w:rsidRDefault="0004307E" w:rsidP="0004307E"/>
    <w:p w:rsidR="0004307E" w:rsidRDefault="00FD35D0" w:rsidP="0004307E">
      <w:r w:rsidRPr="00FD35D0">
        <w:rPr>
          <w:b/>
          <w:color w:val="E36C0A" w:themeColor="accent6" w:themeShade="BF"/>
        </w:rPr>
        <w:lastRenderedPageBreak/>
        <w:t>Melissa</w:t>
      </w:r>
      <w:r w:rsidR="00BF7638" w:rsidRPr="00EE2CB0">
        <w:rPr>
          <w:b/>
          <w:color w:val="E36C0A" w:themeColor="accent6" w:themeShade="BF"/>
        </w:rPr>
        <w:t>:</w:t>
      </w:r>
      <w:r w:rsidR="00BF7638">
        <w:rPr>
          <w:color w:val="E36C0A" w:themeColor="accent6" w:themeShade="BF"/>
        </w:rPr>
        <w:t xml:space="preserve"> </w:t>
      </w:r>
      <w:r w:rsidR="0004307E" w:rsidRPr="006D5816">
        <w:rPr>
          <w:color w:val="E36C0A" w:themeColor="accent6" w:themeShade="BF"/>
        </w:rPr>
        <w:t>This way, there are no surprises. Your participants know what they are committing to prior to, during, and after the PD event.</w:t>
      </w:r>
    </w:p>
    <w:p w:rsidR="0004307E" w:rsidRDefault="0004307E" w:rsidP="0004307E"/>
    <w:p w:rsidR="00BF7638" w:rsidRDefault="00BF7638" w:rsidP="0004307E">
      <w:r w:rsidRPr="00C27EED">
        <w:rPr>
          <w:b/>
        </w:rPr>
        <w:t>Bridget:</w:t>
      </w:r>
    </w:p>
    <w:p w:rsidR="0004307E" w:rsidRDefault="0004307E" w:rsidP="0004307E">
      <w:pPr>
        <w:pStyle w:val="ListParagraph"/>
        <w:numPr>
          <w:ilvl w:val="0"/>
          <w:numId w:val="25"/>
        </w:numPr>
      </w:pPr>
      <w:r>
        <w:t>An action plan for implementation of new skills.</w:t>
      </w:r>
    </w:p>
    <w:p w:rsidR="0004307E" w:rsidRDefault="0004307E" w:rsidP="0004307E"/>
    <w:p w:rsidR="0004307E" w:rsidRDefault="00FD35D0" w:rsidP="0004307E">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04307E" w:rsidRPr="006D5816">
        <w:rPr>
          <w:color w:val="E36C0A" w:themeColor="accent6" w:themeShade="BF"/>
        </w:rPr>
        <w:t>This captures next steps and assigns responsibilities.</w:t>
      </w:r>
    </w:p>
    <w:p w:rsidR="0004307E" w:rsidRDefault="0004307E" w:rsidP="0004307E"/>
    <w:p w:rsidR="00BF7638" w:rsidRDefault="00BF7638" w:rsidP="0004307E">
      <w:r w:rsidRPr="00C27EED">
        <w:rPr>
          <w:b/>
        </w:rPr>
        <w:t>Bridget:</w:t>
      </w:r>
    </w:p>
    <w:p w:rsidR="0004307E" w:rsidRPr="00D774AF" w:rsidRDefault="0004307E" w:rsidP="0004307E">
      <w:pPr>
        <w:pStyle w:val="ListParagraph"/>
        <w:numPr>
          <w:ilvl w:val="0"/>
          <w:numId w:val="25"/>
        </w:numPr>
      </w:pPr>
      <w:r>
        <w:t>A detailed time</w:t>
      </w:r>
      <w:r w:rsidR="00265D93">
        <w:t xml:space="preserve"> </w:t>
      </w:r>
      <w:r>
        <w:t>line that includes intervals of when support activities will be conducted.</w:t>
      </w:r>
    </w:p>
    <w:p w:rsidR="0004307E" w:rsidRDefault="0004307E" w:rsidP="0004307E"/>
    <w:p w:rsidR="0004307E" w:rsidRDefault="00FD35D0" w:rsidP="0004307E">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04307E" w:rsidRPr="007C37BD">
        <w:rPr>
          <w:color w:val="E36C0A" w:themeColor="accent6" w:themeShade="BF"/>
        </w:rPr>
        <w:t>Again,</w:t>
      </w:r>
      <w:r w:rsidR="005434EB">
        <w:rPr>
          <w:color w:val="E36C0A" w:themeColor="accent6" w:themeShade="BF"/>
        </w:rPr>
        <w:t xml:space="preserve"> no surprises. In the past, I’</w:t>
      </w:r>
      <w:r w:rsidR="0004307E" w:rsidRPr="007C37BD">
        <w:rPr>
          <w:color w:val="E36C0A" w:themeColor="accent6" w:themeShade="BF"/>
        </w:rPr>
        <w:t xml:space="preserve">ve recommended participants acknowledge their commitment to the process by indicating “Yes” </w:t>
      </w:r>
      <w:r w:rsidR="0004307E">
        <w:rPr>
          <w:color w:val="E36C0A" w:themeColor="accent6" w:themeShade="BF"/>
        </w:rPr>
        <w:t xml:space="preserve">on </w:t>
      </w:r>
      <w:r w:rsidR="0004307E" w:rsidRPr="007C37BD">
        <w:rPr>
          <w:color w:val="E36C0A" w:themeColor="accent6" w:themeShade="BF"/>
        </w:rPr>
        <w:t>registration forms for PD events.</w:t>
      </w:r>
    </w:p>
    <w:p w:rsidR="0004307E" w:rsidRDefault="0004307E" w:rsidP="0004307E"/>
    <w:p w:rsidR="0004307E" w:rsidRDefault="00BF7638" w:rsidP="0004307E">
      <w:r w:rsidRPr="00C27EED">
        <w:rPr>
          <w:b/>
        </w:rPr>
        <w:t>Bridget:</w:t>
      </w:r>
      <w:r>
        <w:rPr>
          <w:b/>
        </w:rPr>
        <w:t xml:space="preserve"> </w:t>
      </w:r>
      <w:r w:rsidR="0004307E">
        <w:t>That lends itself to accountability, doesn’t it?</w:t>
      </w:r>
    </w:p>
    <w:p w:rsidR="00386C31" w:rsidRDefault="00386C31" w:rsidP="00386C31">
      <w:pPr>
        <w:pStyle w:val="Heading3"/>
      </w:pPr>
      <w:r>
        <w:t>Follow-up Support Continuum</w:t>
      </w:r>
    </w:p>
    <w:p w:rsidR="00D4629A" w:rsidRDefault="00EE2CB0" w:rsidP="00D4629A">
      <w:r w:rsidRPr="00C27EED">
        <w:rPr>
          <w:b/>
        </w:rPr>
        <w:t>Bridget:</w:t>
      </w:r>
      <w:r>
        <w:rPr>
          <w:b/>
        </w:rPr>
        <w:t xml:space="preserve"> </w:t>
      </w:r>
      <w:r w:rsidR="00D4629A">
        <w:t>Remember the range of marketing options when we discussed the Marketing practice? Likewise, there are lots of options for your follow-up support as well, depending on your available resources in cost and time. Looking at the continuum, you can see a range of activities—from low-cost, minimal time investments all the way to costly, time</w:t>
      </w:r>
      <w:r w:rsidR="00265D93">
        <w:t>-</w:t>
      </w:r>
      <w:r w:rsidR="00D4629A">
        <w:t>intensive efforts. Starting on the left, low-cost examples include sending e-mail reminders or motivators to your participants or sending “</w:t>
      </w:r>
      <w:r w:rsidR="00D4629A" w:rsidRPr="009B2B2D">
        <w:rPr>
          <w:i/>
        </w:rPr>
        <w:t>Letters to Myself</w:t>
      </w:r>
      <w:r w:rsidR="00D4629A">
        <w:t>” that are generated by your participants during your PD event. Moving toward the middle, you can see how time and cost investments increase in examples like moderating an online discussion group or providing a podcast. The examples on the right represent high-cost, time-intensive activities, such as on-site coaching, advanced levels of training, or establishing professional learning communities.</w:t>
      </w:r>
    </w:p>
    <w:p w:rsidR="0004307E" w:rsidRDefault="0004307E" w:rsidP="0004307E"/>
    <w:p w:rsidR="0004307E" w:rsidRDefault="0004307E" w:rsidP="0004307E">
      <w:r>
        <w:t xml:space="preserve">Let’s review a hypothetical </w:t>
      </w:r>
      <w:r w:rsidR="00BF5A24">
        <w:t>14</w:t>
      </w:r>
      <w:r>
        <w:t>-month plan to show how support activities are spaced at intervals after your PD event.</w:t>
      </w:r>
    </w:p>
    <w:p w:rsidR="0004307E" w:rsidRDefault="0004307E" w:rsidP="005434EB">
      <w:pPr>
        <w:pStyle w:val="ListParagraph"/>
        <w:numPr>
          <w:ilvl w:val="0"/>
          <w:numId w:val="26"/>
        </w:numPr>
        <w:ind w:left="720"/>
      </w:pPr>
      <w:r>
        <w:t>At two weeks: An initial e-mail that encourages participants to begin implementation, provides resources, and lists highlights from the training. Technical assistance is offered at this point.</w:t>
      </w:r>
    </w:p>
    <w:p w:rsidR="0004307E" w:rsidRDefault="00BF5A24" w:rsidP="005434EB">
      <w:pPr>
        <w:pStyle w:val="ListParagraph"/>
        <w:numPr>
          <w:ilvl w:val="0"/>
          <w:numId w:val="26"/>
        </w:numPr>
        <w:ind w:left="720"/>
      </w:pPr>
      <w:r>
        <w:t>At o</w:t>
      </w:r>
      <w:r w:rsidR="0004307E">
        <w:t xml:space="preserve">ne month: A website provides information and easy access to tools </w:t>
      </w:r>
      <w:r w:rsidR="005434EB">
        <w:t xml:space="preserve">that </w:t>
      </w:r>
      <w:r w:rsidR="0004307E">
        <w:t>participants can use to begin implementation.</w:t>
      </w:r>
    </w:p>
    <w:p w:rsidR="0004307E" w:rsidRDefault="00BF5A24" w:rsidP="005434EB">
      <w:pPr>
        <w:pStyle w:val="ListParagraph"/>
        <w:numPr>
          <w:ilvl w:val="0"/>
          <w:numId w:val="26"/>
        </w:numPr>
        <w:ind w:left="720"/>
      </w:pPr>
      <w:r>
        <w:t>At t</w:t>
      </w:r>
      <w:r w:rsidR="0004307E">
        <w:t xml:space="preserve">hree months: Action plans can be resent to remind participants of their intentions and commitment. </w:t>
      </w:r>
    </w:p>
    <w:p w:rsidR="0004307E" w:rsidRDefault="0004307E" w:rsidP="0004307E">
      <w:pPr>
        <w:pStyle w:val="ListParagraph"/>
        <w:ind w:left="360"/>
      </w:pPr>
    </w:p>
    <w:p w:rsidR="0004307E" w:rsidRDefault="00FD35D0" w:rsidP="00FD35D0">
      <w:pPr>
        <w:pStyle w:val="ListParagraph"/>
        <w:ind w:left="0"/>
        <w:rPr>
          <w:color w:val="E36C0A" w:themeColor="accent6" w:themeShade="BF"/>
        </w:rPr>
      </w:pPr>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04307E" w:rsidRPr="00117947">
        <w:rPr>
          <w:color w:val="E36C0A" w:themeColor="accent6" w:themeShade="BF"/>
        </w:rPr>
        <w:t xml:space="preserve">This may prompt dialogue about their progress, and technical assistance can be offered once again to </w:t>
      </w:r>
      <w:r w:rsidR="0004307E">
        <w:rPr>
          <w:color w:val="E36C0A" w:themeColor="accent6" w:themeShade="BF"/>
        </w:rPr>
        <w:t xml:space="preserve">address </w:t>
      </w:r>
      <w:r w:rsidR="0004307E" w:rsidRPr="00117947">
        <w:rPr>
          <w:color w:val="E36C0A" w:themeColor="accent6" w:themeShade="BF"/>
        </w:rPr>
        <w:t>potential barriers.</w:t>
      </w:r>
    </w:p>
    <w:p w:rsidR="0004307E" w:rsidRDefault="0004307E" w:rsidP="00BF7638"/>
    <w:p w:rsidR="00BF7638" w:rsidRDefault="00BF7638" w:rsidP="00BF7638">
      <w:r w:rsidRPr="00C27EED">
        <w:rPr>
          <w:b/>
        </w:rPr>
        <w:t>Bridget:</w:t>
      </w:r>
    </w:p>
    <w:p w:rsidR="0004307E" w:rsidRDefault="0004307E" w:rsidP="005434EB">
      <w:pPr>
        <w:pStyle w:val="ListParagraph"/>
        <w:numPr>
          <w:ilvl w:val="0"/>
          <w:numId w:val="26"/>
        </w:numPr>
        <w:ind w:left="720"/>
      </w:pPr>
      <w:r>
        <w:t>At seven months: A “booster” event provides additional resources and training on specific trouble spots that participants have identified in post-event evaluations.</w:t>
      </w:r>
    </w:p>
    <w:p w:rsidR="0004307E" w:rsidRDefault="0004307E" w:rsidP="0004307E">
      <w:pPr>
        <w:pStyle w:val="ListParagraph"/>
        <w:ind w:left="360"/>
      </w:pPr>
    </w:p>
    <w:p w:rsidR="0004307E" w:rsidRDefault="00FD35D0" w:rsidP="00FD35D0">
      <w:pPr>
        <w:pStyle w:val="ListParagraph"/>
        <w:ind w:left="0"/>
        <w:rPr>
          <w:color w:val="E36C0A" w:themeColor="accent6" w:themeShade="BF"/>
        </w:rPr>
      </w:pPr>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04307E" w:rsidRPr="00775B1D">
        <w:rPr>
          <w:color w:val="E36C0A" w:themeColor="accent6" w:themeShade="BF"/>
        </w:rPr>
        <w:t>Post-event evaluations are typically sent six months after the PD event</w:t>
      </w:r>
      <w:r w:rsidR="0004307E">
        <w:rPr>
          <w:color w:val="E36C0A" w:themeColor="accent6" w:themeShade="BF"/>
        </w:rPr>
        <w:t>. Evaluations after the booster provide feedback as well. It’s one more opportunity to collect data!</w:t>
      </w:r>
    </w:p>
    <w:p w:rsidR="0004307E" w:rsidRDefault="0004307E" w:rsidP="00FD35D0">
      <w:pPr>
        <w:pStyle w:val="ListParagraph"/>
        <w:ind w:left="0"/>
        <w:rPr>
          <w:color w:val="E36C0A" w:themeColor="accent6" w:themeShade="BF"/>
        </w:rPr>
      </w:pPr>
    </w:p>
    <w:p w:rsidR="0004307E" w:rsidRPr="00C2313E" w:rsidRDefault="0004307E" w:rsidP="00FD35D0">
      <w:pPr>
        <w:pStyle w:val="ListParagraph"/>
        <w:ind w:left="0"/>
      </w:pPr>
      <w:r>
        <w:rPr>
          <w:color w:val="E36C0A" w:themeColor="accent6" w:themeShade="BF"/>
        </w:rPr>
        <w:lastRenderedPageBreak/>
        <w:t>By the way, t</w:t>
      </w:r>
      <w:r w:rsidRPr="00117947">
        <w:rPr>
          <w:color w:val="E36C0A" w:themeColor="accent6" w:themeShade="BF"/>
        </w:rPr>
        <w:t>he booster does not introduce any new information. It only reinforces content from the initial event.</w:t>
      </w:r>
      <w:r>
        <w:rPr>
          <w:color w:val="E36C0A" w:themeColor="accent6" w:themeShade="BF"/>
        </w:rPr>
        <w:t xml:space="preserve"> </w:t>
      </w:r>
    </w:p>
    <w:p w:rsidR="0004307E" w:rsidRPr="00C2313E" w:rsidRDefault="0004307E" w:rsidP="00FD35D0">
      <w:pPr>
        <w:pStyle w:val="ListParagraph"/>
        <w:ind w:left="0"/>
      </w:pPr>
    </w:p>
    <w:p w:rsidR="0004307E" w:rsidRPr="00C2313E" w:rsidRDefault="00BF7638" w:rsidP="00BF7638">
      <w:r w:rsidRPr="00C27EED">
        <w:rPr>
          <w:b/>
        </w:rPr>
        <w:t>Bridget:</w:t>
      </w:r>
      <w:r>
        <w:rPr>
          <w:b/>
        </w:rPr>
        <w:t xml:space="preserve"> </w:t>
      </w:r>
      <w:r w:rsidR="0004307E" w:rsidRPr="00C2313E">
        <w:t xml:space="preserve">That’s </w:t>
      </w:r>
      <w:r w:rsidR="0004307E">
        <w:t>a good point</w:t>
      </w:r>
      <w:r w:rsidR="0004307E" w:rsidRPr="00C2313E">
        <w:t>!</w:t>
      </w:r>
    </w:p>
    <w:p w:rsidR="0004307E" w:rsidRDefault="0004307E" w:rsidP="005434EB">
      <w:pPr>
        <w:pStyle w:val="ListParagraph"/>
        <w:numPr>
          <w:ilvl w:val="0"/>
          <w:numId w:val="26"/>
        </w:numPr>
        <w:ind w:left="720"/>
      </w:pPr>
      <w:r>
        <w:t>At ten months: Another e-mail can reinforce content again and continue to address the barriers identified at seven months.</w:t>
      </w:r>
    </w:p>
    <w:p w:rsidR="0004307E" w:rsidRDefault="0004307E" w:rsidP="0004307E">
      <w:pPr>
        <w:pStyle w:val="ListParagraph"/>
        <w:ind w:left="360"/>
      </w:pPr>
    </w:p>
    <w:p w:rsidR="0004307E" w:rsidRDefault="00FD35D0" w:rsidP="00FD35D0">
      <w:pPr>
        <w:pStyle w:val="ListParagraph"/>
        <w:ind w:left="0"/>
        <w:rPr>
          <w:color w:val="E36C0A" w:themeColor="accent6" w:themeShade="BF"/>
        </w:rPr>
      </w:pPr>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04307E" w:rsidRPr="00B53518">
        <w:rPr>
          <w:color w:val="E36C0A" w:themeColor="accent6" w:themeShade="BF"/>
        </w:rPr>
        <w:t xml:space="preserve">This is also a good time to offer </w:t>
      </w:r>
      <w:r w:rsidR="0004307E">
        <w:rPr>
          <w:color w:val="E36C0A" w:themeColor="accent6" w:themeShade="BF"/>
        </w:rPr>
        <w:t>technical assistance</w:t>
      </w:r>
      <w:r w:rsidR="0004307E" w:rsidRPr="00B53518">
        <w:rPr>
          <w:color w:val="E36C0A" w:themeColor="accent6" w:themeShade="BF"/>
        </w:rPr>
        <w:t xml:space="preserve"> again and send out any self-assessment tools that were used during the PD event.</w:t>
      </w:r>
    </w:p>
    <w:p w:rsidR="0004307E" w:rsidRDefault="0004307E" w:rsidP="00BF7638"/>
    <w:p w:rsidR="00BF7638" w:rsidRDefault="00BF7638" w:rsidP="00BF7638">
      <w:r w:rsidRPr="00C27EED">
        <w:rPr>
          <w:b/>
        </w:rPr>
        <w:t>Bridget:</w:t>
      </w:r>
    </w:p>
    <w:p w:rsidR="00A44F68" w:rsidRDefault="00A44F68" w:rsidP="005434EB">
      <w:pPr>
        <w:pStyle w:val="ListParagraph"/>
        <w:numPr>
          <w:ilvl w:val="0"/>
          <w:numId w:val="26"/>
        </w:numPr>
        <w:ind w:left="720"/>
      </w:pPr>
      <w:r>
        <w:t>One year later: Phone interviews with team leads a year after the initial event provides an opportunity to share successes and discuss needs.</w:t>
      </w:r>
    </w:p>
    <w:p w:rsidR="00A44F68" w:rsidRDefault="00A44F68" w:rsidP="00A44F68">
      <w:pPr>
        <w:pStyle w:val="ListParagraph"/>
        <w:ind w:left="360"/>
      </w:pPr>
    </w:p>
    <w:p w:rsidR="00A44F68" w:rsidRDefault="00FD35D0" w:rsidP="00FD35D0">
      <w:pPr>
        <w:pStyle w:val="ListParagraph"/>
        <w:ind w:left="0"/>
        <w:rPr>
          <w:color w:val="E36C0A" w:themeColor="accent6" w:themeShade="BF"/>
        </w:rPr>
      </w:pPr>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A44F68" w:rsidRPr="00B53518">
        <w:rPr>
          <w:color w:val="E36C0A" w:themeColor="accent6" w:themeShade="BF"/>
        </w:rPr>
        <w:t xml:space="preserve">Don’t forget to follow-up with any needed resources that </w:t>
      </w:r>
      <w:r w:rsidR="00A44F68">
        <w:rPr>
          <w:color w:val="E36C0A" w:themeColor="accent6" w:themeShade="BF"/>
        </w:rPr>
        <w:t>were</w:t>
      </w:r>
      <w:r w:rsidR="00A44F68" w:rsidRPr="00B53518">
        <w:rPr>
          <w:color w:val="E36C0A" w:themeColor="accent6" w:themeShade="BF"/>
        </w:rPr>
        <w:t xml:space="preserve"> identified during the call!</w:t>
      </w:r>
    </w:p>
    <w:p w:rsidR="00A44F68" w:rsidRDefault="00A44F68" w:rsidP="00BF7638"/>
    <w:p w:rsidR="00BF7638" w:rsidRDefault="00BF7638" w:rsidP="00BF7638">
      <w:r w:rsidRPr="00C27EED">
        <w:rPr>
          <w:b/>
        </w:rPr>
        <w:t>Bridget:</w:t>
      </w:r>
    </w:p>
    <w:p w:rsidR="00A44F68" w:rsidRDefault="00A44F68" w:rsidP="005434EB">
      <w:pPr>
        <w:pStyle w:val="ListParagraph"/>
        <w:numPr>
          <w:ilvl w:val="0"/>
          <w:numId w:val="26"/>
        </w:numPr>
        <w:ind w:left="720"/>
      </w:pPr>
      <w:r>
        <w:t xml:space="preserve">At 14 months: </w:t>
      </w:r>
      <w:r w:rsidRPr="0031252E">
        <w:t>How about sending out commendation letters?</w:t>
      </w:r>
      <w:r>
        <w:t xml:space="preserve"> Participants should have lots to celebrate if they kept their commitments and took advantage of all the offers for technical assistance that you provided!</w:t>
      </w:r>
    </w:p>
    <w:p w:rsidR="00A44F68" w:rsidRDefault="00A44F68" w:rsidP="00A44F68">
      <w:pPr>
        <w:pStyle w:val="ListParagraph"/>
        <w:ind w:left="360"/>
      </w:pPr>
    </w:p>
    <w:p w:rsidR="00A44F68" w:rsidRDefault="00FD35D0" w:rsidP="00FD35D0">
      <w:pPr>
        <w:pStyle w:val="ListParagraph"/>
        <w:ind w:left="0"/>
        <w:rPr>
          <w:color w:val="E36C0A" w:themeColor="accent6" w:themeShade="BF"/>
        </w:rPr>
      </w:pPr>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A44F68" w:rsidRPr="00C2313E">
        <w:rPr>
          <w:color w:val="E36C0A" w:themeColor="accent6" w:themeShade="BF"/>
        </w:rPr>
        <w:t xml:space="preserve">The intervals may differ for you, but what we’re </w:t>
      </w:r>
      <w:r w:rsidR="00A44F68">
        <w:rPr>
          <w:color w:val="E36C0A" w:themeColor="accent6" w:themeShade="BF"/>
        </w:rPr>
        <w:t>trying to emphasize is consistent,</w:t>
      </w:r>
      <w:r w:rsidR="00A44F68" w:rsidRPr="00C2313E">
        <w:rPr>
          <w:color w:val="E36C0A" w:themeColor="accent6" w:themeShade="BF"/>
        </w:rPr>
        <w:t xml:space="preserve"> continued</w:t>
      </w:r>
      <w:r w:rsidR="00A44F68">
        <w:rPr>
          <w:color w:val="E36C0A" w:themeColor="accent6" w:themeShade="BF"/>
        </w:rPr>
        <w:t>, and intentional</w:t>
      </w:r>
      <w:r w:rsidR="00A44F68" w:rsidRPr="00C2313E">
        <w:rPr>
          <w:color w:val="E36C0A" w:themeColor="accent6" w:themeShade="BF"/>
        </w:rPr>
        <w:t xml:space="preserve"> contact during a specified time</w:t>
      </w:r>
      <w:r w:rsidR="00BB185C">
        <w:rPr>
          <w:color w:val="E36C0A" w:themeColor="accent6" w:themeShade="BF"/>
        </w:rPr>
        <w:t xml:space="preserve"> </w:t>
      </w:r>
      <w:r w:rsidR="00A44F68" w:rsidRPr="00C2313E">
        <w:rPr>
          <w:color w:val="E36C0A" w:themeColor="accent6" w:themeShade="BF"/>
        </w:rPr>
        <w:t>frame.</w:t>
      </w:r>
    </w:p>
    <w:p w:rsidR="00A44F68" w:rsidRDefault="00A44F68" w:rsidP="00A44F68">
      <w:pPr>
        <w:pStyle w:val="ListParagraph"/>
        <w:ind w:left="360"/>
        <w:rPr>
          <w:color w:val="E36C0A" w:themeColor="accent6" w:themeShade="BF"/>
        </w:rPr>
      </w:pPr>
    </w:p>
    <w:p w:rsidR="00A44F68" w:rsidRDefault="00A44F68" w:rsidP="00386C31">
      <w:pPr>
        <w:pStyle w:val="ListParagraph"/>
        <w:ind w:left="0"/>
        <w:rPr>
          <w:color w:val="E36C0A" w:themeColor="accent6" w:themeShade="BF"/>
        </w:rPr>
      </w:pPr>
      <w:r>
        <w:rPr>
          <w:color w:val="E36C0A" w:themeColor="accent6" w:themeShade="BF"/>
        </w:rPr>
        <w:t>We have some great Follow-Up Support tools in Additional Resources for you.</w:t>
      </w:r>
    </w:p>
    <w:p w:rsidR="00A44F68" w:rsidRPr="0078016A" w:rsidRDefault="00A44F68" w:rsidP="00386C31">
      <w:pPr>
        <w:pStyle w:val="ListParagraph"/>
        <w:numPr>
          <w:ilvl w:val="0"/>
          <w:numId w:val="26"/>
        </w:numPr>
        <w:ind w:left="720"/>
      </w:pPr>
      <w:r>
        <w:rPr>
          <w:color w:val="E36C0A" w:themeColor="accent6" w:themeShade="BF"/>
        </w:rPr>
        <w:t>The “</w:t>
      </w:r>
      <w:r w:rsidRPr="005434EB">
        <w:rPr>
          <w:i/>
          <w:color w:val="E36C0A" w:themeColor="accent6" w:themeShade="BF"/>
        </w:rPr>
        <w:t>Online Support Tools</w:t>
      </w:r>
      <w:r>
        <w:rPr>
          <w:color w:val="E36C0A" w:themeColor="accent6" w:themeShade="BF"/>
        </w:rPr>
        <w:t>” describes lots of different techniques to connect using online technologies.</w:t>
      </w:r>
    </w:p>
    <w:p w:rsidR="00A44F68" w:rsidRDefault="00A44F68" w:rsidP="00386C31">
      <w:pPr>
        <w:pStyle w:val="ListParagraph"/>
        <w:numPr>
          <w:ilvl w:val="0"/>
          <w:numId w:val="26"/>
        </w:numPr>
        <w:ind w:left="720"/>
      </w:pPr>
      <w:r>
        <w:rPr>
          <w:color w:val="E36C0A" w:themeColor="accent6" w:themeShade="BF"/>
        </w:rPr>
        <w:t>And the “</w:t>
      </w:r>
      <w:r w:rsidRPr="005434EB">
        <w:rPr>
          <w:i/>
          <w:color w:val="E36C0A" w:themeColor="accent6" w:themeShade="BF"/>
        </w:rPr>
        <w:t>Guide for Follow-Up Support Planning</w:t>
      </w:r>
      <w:r>
        <w:rPr>
          <w:color w:val="E36C0A" w:themeColor="accent6" w:themeShade="BF"/>
        </w:rPr>
        <w:t>” walks you through everything you need to consider as you develop your own plan.</w:t>
      </w:r>
    </w:p>
    <w:p w:rsidR="00A44F68" w:rsidRDefault="00A44F68" w:rsidP="00A44F68"/>
    <w:p w:rsidR="00A44F68" w:rsidRDefault="00BF7638" w:rsidP="00A44F68">
      <w:r w:rsidRPr="00C27EED">
        <w:rPr>
          <w:b/>
        </w:rPr>
        <w:t>Bridget:</w:t>
      </w:r>
      <w:r w:rsidR="00A44F68">
        <w:t xml:space="preserve"> We hope you take advantage of the wealth of resources we have for you in Additional Resources!</w:t>
      </w:r>
    </w:p>
    <w:p w:rsidR="00A44F68" w:rsidRDefault="00626B07" w:rsidP="00A8471D">
      <w:pPr>
        <w:pStyle w:val="Heading3"/>
      </w:pPr>
      <w:r>
        <w:t>Key Strategies</w:t>
      </w:r>
    </w:p>
    <w:p w:rsidR="00A44F68" w:rsidRDefault="00BF7638" w:rsidP="00A44F68">
      <w:pPr>
        <w:rPr>
          <w:iCs/>
        </w:rPr>
      </w:pPr>
      <w:r w:rsidRPr="00C27EED">
        <w:rPr>
          <w:b/>
        </w:rPr>
        <w:t>Bridget:</w:t>
      </w:r>
      <w:r>
        <w:rPr>
          <w:b/>
        </w:rPr>
        <w:t xml:space="preserve"> </w:t>
      </w:r>
      <w:r w:rsidR="00A44F68">
        <w:rPr>
          <w:iCs/>
        </w:rPr>
        <w:t>As usual, you can find the comprehensive list of s</w:t>
      </w:r>
      <w:r w:rsidR="00A44F68" w:rsidRPr="00C62623">
        <w:rPr>
          <w:iCs/>
        </w:rPr>
        <w:t xml:space="preserve">trategies </w:t>
      </w:r>
      <w:r w:rsidR="00A44F68">
        <w:rPr>
          <w:iCs/>
        </w:rPr>
        <w:t>in Additional Resources</w:t>
      </w:r>
      <w:r w:rsidR="00BF5A24">
        <w:rPr>
          <w:iCs/>
        </w:rPr>
        <w:t>.</w:t>
      </w:r>
      <w:r w:rsidR="00A44F68">
        <w:rPr>
          <w:iCs/>
        </w:rPr>
        <w:t xml:space="preserve">  </w:t>
      </w:r>
      <w:r w:rsidR="00BF5A24">
        <w:rPr>
          <w:iCs/>
        </w:rPr>
        <w:t>H</w:t>
      </w:r>
      <w:r w:rsidR="00A44F68">
        <w:rPr>
          <w:iCs/>
        </w:rPr>
        <w:t>ere are just a few for group settings:</w:t>
      </w:r>
    </w:p>
    <w:p w:rsidR="00A44F68" w:rsidRPr="00D936D3" w:rsidRDefault="00A44F68" w:rsidP="00A44F68">
      <w:pPr>
        <w:numPr>
          <w:ilvl w:val="0"/>
          <w:numId w:val="27"/>
        </w:numPr>
      </w:pPr>
      <w:r w:rsidRPr="00D936D3">
        <w:t xml:space="preserve">Plan </w:t>
      </w:r>
      <w:r>
        <w:t>for follow-up support prior to each event.</w:t>
      </w:r>
    </w:p>
    <w:p w:rsidR="00A44F68" w:rsidRPr="00D936D3" w:rsidRDefault="00A44F68" w:rsidP="00A44F68">
      <w:pPr>
        <w:numPr>
          <w:ilvl w:val="0"/>
          <w:numId w:val="27"/>
        </w:numPr>
      </w:pPr>
      <w:r w:rsidRPr="00D936D3">
        <w:t xml:space="preserve">Share expectations </w:t>
      </w:r>
      <w:r>
        <w:t xml:space="preserve">prior to and </w:t>
      </w:r>
      <w:r w:rsidRPr="00D936D3">
        <w:t>during the event</w:t>
      </w:r>
      <w:r>
        <w:t>.</w:t>
      </w:r>
    </w:p>
    <w:p w:rsidR="00A44F68" w:rsidRDefault="00A44F68" w:rsidP="00A44F68">
      <w:pPr>
        <w:numPr>
          <w:ilvl w:val="0"/>
          <w:numId w:val="27"/>
        </w:numPr>
      </w:pPr>
      <w:r>
        <w:t>Provide support at appropriate intervals.</w:t>
      </w:r>
    </w:p>
    <w:p w:rsidR="00A44F68" w:rsidRDefault="00A44F68" w:rsidP="00A44F68"/>
    <w:p w:rsidR="00A44F68" w:rsidRPr="00F2118C" w:rsidRDefault="00F2118C" w:rsidP="00A44F68">
      <w:pPr>
        <w:rPr>
          <w:color w:val="E36C0A" w:themeColor="accent6" w:themeShade="BF"/>
        </w:rPr>
      </w:pPr>
      <w:r w:rsidRPr="00F2118C">
        <w:rPr>
          <w:b/>
          <w:color w:val="E36C0A" w:themeColor="accent6" w:themeShade="BF"/>
        </w:rPr>
        <w:t xml:space="preserve">Melissa: </w:t>
      </w:r>
      <w:r w:rsidR="00A44F68" w:rsidRPr="00F2118C">
        <w:rPr>
          <w:color w:val="E36C0A" w:themeColor="accent6" w:themeShade="BF"/>
        </w:rPr>
        <w:t>The strategies are similar for technical assistance:</w:t>
      </w:r>
    </w:p>
    <w:p w:rsidR="00A44F68" w:rsidRDefault="00A44F68" w:rsidP="00A44F68">
      <w:pPr>
        <w:pStyle w:val="ListParagraph"/>
        <w:numPr>
          <w:ilvl w:val="0"/>
          <w:numId w:val="28"/>
        </w:numPr>
      </w:pPr>
      <w:r w:rsidRPr="00F2118C">
        <w:rPr>
          <w:color w:val="E36C0A" w:themeColor="accent6" w:themeShade="BF"/>
        </w:rPr>
        <w:t>Plan for follow-up support during the initial provision of technical assistance.</w:t>
      </w:r>
    </w:p>
    <w:p w:rsidR="00A44F68" w:rsidRDefault="00A44F68" w:rsidP="00A44F68">
      <w:pPr>
        <w:pStyle w:val="ListParagraph"/>
        <w:numPr>
          <w:ilvl w:val="0"/>
          <w:numId w:val="28"/>
        </w:numPr>
      </w:pPr>
      <w:r w:rsidRPr="00F2118C">
        <w:rPr>
          <w:color w:val="E36C0A" w:themeColor="accent6" w:themeShade="BF"/>
        </w:rPr>
        <w:t>Schedule follow-up support.</w:t>
      </w:r>
    </w:p>
    <w:p w:rsidR="00A44F68" w:rsidRDefault="00A44F68" w:rsidP="00A44F68">
      <w:pPr>
        <w:pStyle w:val="ListParagraph"/>
        <w:numPr>
          <w:ilvl w:val="0"/>
          <w:numId w:val="28"/>
        </w:numPr>
      </w:pPr>
      <w:r w:rsidRPr="00F2118C">
        <w:rPr>
          <w:color w:val="E36C0A" w:themeColor="accent6" w:themeShade="BF"/>
        </w:rPr>
        <w:t>Provide intentional follow-up support.</w:t>
      </w:r>
    </w:p>
    <w:p w:rsidR="00386C31" w:rsidRDefault="00386C31" w:rsidP="00386C31"/>
    <w:p w:rsidR="00386C31" w:rsidRDefault="00F2118C" w:rsidP="00386C31">
      <w:r w:rsidRPr="00C27EED">
        <w:rPr>
          <w:b/>
        </w:rPr>
        <w:t>Bridget:</w:t>
      </w:r>
      <w:r>
        <w:rPr>
          <w:b/>
        </w:rPr>
        <w:t xml:space="preserve"> </w:t>
      </w:r>
      <w:r w:rsidR="00386C31">
        <w:t>Before we move on to the final practice, l</w:t>
      </w:r>
      <w:r w:rsidR="00386C31" w:rsidRPr="001541AA">
        <w:t xml:space="preserve">et’s take a minute to </w:t>
      </w:r>
      <w:r w:rsidR="00386C31">
        <w:t>review.</w:t>
      </w:r>
    </w:p>
    <w:p w:rsidR="001C7B2A" w:rsidRDefault="001C7B2A" w:rsidP="00386C31"/>
    <w:p w:rsidR="001C7B2A" w:rsidRDefault="001C7B2A" w:rsidP="001C7B2A">
      <w:pPr>
        <w:rPr>
          <w:i/>
        </w:rPr>
      </w:pPr>
      <w:r w:rsidRPr="00FD35D0">
        <w:rPr>
          <w:i/>
        </w:rPr>
        <w:t>[Learning Activity</w:t>
      </w:r>
      <w:r>
        <w:rPr>
          <w:i/>
        </w:rPr>
        <w:t xml:space="preserve"> 2</w:t>
      </w:r>
      <w:r w:rsidRPr="00FD35D0">
        <w:rPr>
          <w:i/>
        </w:rPr>
        <w:t xml:space="preserve">: </w:t>
      </w:r>
      <w:r>
        <w:rPr>
          <w:i/>
        </w:rPr>
        <w:t>Follow-Up review</w:t>
      </w:r>
      <w:r w:rsidRPr="00FD35D0">
        <w:rPr>
          <w:i/>
        </w:rPr>
        <w:t>]</w:t>
      </w:r>
    </w:p>
    <w:p w:rsidR="001C7B2A" w:rsidRDefault="001C7B2A" w:rsidP="001C7B2A">
      <w:pPr>
        <w:pStyle w:val="Heading1"/>
      </w:pPr>
      <w:r>
        <w:t>SECTION 5: EVALUATE PRACTICE</w:t>
      </w:r>
    </w:p>
    <w:p w:rsidR="00A44F68" w:rsidRDefault="00BF7638" w:rsidP="00A44F68">
      <w:r w:rsidRPr="00C27EED">
        <w:rPr>
          <w:b/>
        </w:rPr>
        <w:t>Bridget:</w:t>
      </w:r>
      <w:r>
        <w:rPr>
          <w:b/>
        </w:rPr>
        <w:t xml:space="preserve"> </w:t>
      </w:r>
      <w:r w:rsidR="00A44F68">
        <w:t xml:space="preserve">Finally, we have reached the last of the PD Practices, </w:t>
      </w:r>
      <w:r w:rsidR="00A44F68" w:rsidRPr="00C675DB">
        <w:rPr>
          <w:b/>
        </w:rPr>
        <w:t>Evaluate</w:t>
      </w:r>
      <w:r w:rsidR="00A44F68">
        <w:t xml:space="preserve"> Professional Development Processes. This is the process of systematically monitoring and evaluating your professional development events by collecting data and using it to improve future efforts.</w:t>
      </w:r>
    </w:p>
    <w:p w:rsidR="00A44F68" w:rsidRDefault="00A44F68" w:rsidP="00A44F68"/>
    <w:p w:rsidR="00A44F68" w:rsidRDefault="00A44F68" w:rsidP="00A44F68">
      <w:r>
        <w:t>This</w:t>
      </w:r>
      <w:r w:rsidRPr="00D936D3">
        <w:t xml:space="preserve"> goes beyond the </w:t>
      </w:r>
      <w:r>
        <w:t>standard</w:t>
      </w:r>
      <w:r w:rsidRPr="00D936D3">
        <w:t xml:space="preserve"> evaluation</w:t>
      </w:r>
      <w:r>
        <w:t xml:space="preserve"> form that participants </w:t>
      </w:r>
      <w:r w:rsidR="00BF5A24">
        <w:t>typically</w:t>
      </w:r>
      <w:r w:rsidR="00BB185C">
        <w:t xml:space="preserve"> </w:t>
      </w:r>
      <w:r>
        <w:t>fill out at the conclusion</w:t>
      </w:r>
      <w:r w:rsidRPr="00D936D3">
        <w:t xml:space="preserve"> </w:t>
      </w:r>
      <w:r>
        <w:t xml:space="preserve">of most events. You </w:t>
      </w:r>
      <w:r w:rsidRPr="00D936D3">
        <w:t>want to</w:t>
      </w:r>
      <w:r>
        <w:t xml:space="preserve"> be able to</w:t>
      </w:r>
      <w:r w:rsidRPr="00D936D3">
        <w:t xml:space="preserve"> assess </w:t>
      </w:r>
      <w:r>
        <w:t xml:space="preserve">how they used </w:t>
      </w:r>
      <w:r w:rsidRPr="00D936D3">
        <w:t>the information</w:t>
      </w:r>
      <w:r>
        <w:t xml:space="preserve"> you provided long after your event is over and what impact it had three, six, nine months, or even a year or more later. You want your participants to develop and use new skills and knowledge learned in your Professional Development event, but how can you know they</w:t>
      </w:r>
      <w:r w:rsidR="00BF5A24">
        <w:t xml:space="preserve"> a</w:t>
      </w:r>
      <w:r>
        <w:t>re using what they have learned?</w:t>
      </w:r>
    </w:p>
    <w:p w:rsidR="00A44F68" w:rsidRDefault="00A44F68" w:rsidP="00A44F68"/>
    <w:p w:rsidR="00A44F68" w:rsidRDefault="00FD35D0" w:rsidP="00A44F68">
      <w:pPr>
        <w:rPr>
          <w:color w:val="E36C0A" w:themeColor="accent6" w:themeShade="BF"/>
        </w:rPr>
      </w:pPr>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A44F68">
        <w:rPr>
          <w:color w:val="E36C0A" w:themeColor="accent6" w:themeShade="BF"/>
        </w:rPr>
        <w:t xml:space="preserve">The simple answer is to ask them! In other words, obtain their feedback and use it to evaluate your event. </w:t>
      </w:r>
      <w:r w:rsidR="00A44F68" w:rsidRPr="009A74CD">
        <w:rPr>
          <w:color w:val="E36C0A" w:themeColor="accent6" w:themeShade="BF"/>
        </w:rPr>
        <w:t xml:space="preserve">Evaluation </w:t>
      </w:r>
      <w:r w:rsidR="00A44F68">
        <w:rPr>
          <w:color w:val="E36C0A" w:themeColor="accent6" w:themeShade="BF"/>
        </w:rPr>
        <w:t xml:space="preserve">is a powerful tool to </w:t>
      </w:r>
      <w:r w:rsidR="00A44F68" w:rsidRPr="009A74CD">
        <w:rPr>
          <w:color w:val="E36C0A" w:themeColor="accent6" w:themeShade="BF"/>
        </w:rPr>
        <w:t xml:space="preserve">help </w:t>
      </w:r>
      <w:r w:rsidR="00A44F68">
        <w:rPr>
          <w:color w:val="E36C0A" w:themeColor="accent6" w:themeShade="BF"/>
        </w:rPr>
        <w:t xml:space="preserve">you determine if you need to refine your training designs </w:t>
      </w:r>
      <w:r w:rsidR="00A44F68" w:rsidRPr="009A74CD">
        <w:rPr>
          <w:color w:val="E36C0A" w:themeColor="accent6" w:themeShade="BF"/>
        </w:rPr>
        <w:t xml:space="preserve">to make </w:t>
      </w:r>
      <w:r w:rsidR="00A44F68">
        <w:rPr>
          <w:color w:val="E36C0A" w:themeColor="accent6" w:themeShade="BF"/>
        </w:rPr>
        <w:t>your events</w:t>
      </w:r>
      <w:r w:rsidR="00A44F68" w:rsidRPr="009A74CD">
        <w:rPr>
          <w:color w:val="E36C0A" w:themeColor="accent6" w:themeShade="BF"/>
        </w:rPr>
        <w:t xml:space="preserve"> more powerful and sustainable.</w:t>
      </w:r>
    </w:p>
    <w:p w:rsidR="00A44F68" w:rsidRDefault="00A44F68" w:rsidP="00A44F68">
      <w:pPr>
        <w:rPr>
          <w:color w:val="E36C0A" w:themeColor="accent6" w:themeShade="BF"/>
        </w:rPr>
      </w:pPr>
    </w:p>
    <w:p w:rsidR="00A44F68" w:rsidRDefault="00BF7638" w:rsidP="00A44F68">
      <w:r w:rsidRPr="00C27EED">
        <w:rPr>
          <w:b/>
        </w:rPr>
        <w:t>Bridget:</w:t>
      </w:r>
      <w:r w:rsidR="00A44F68">
        <w:t xml:space="preserve"> The data you collect can be used for future professional development planning, to make revisions to your technical assistance protocols, and to report indicators of success to your stakeholders.</w:t>
      </w:r>
    </w:p>
    <w:p w:rsidR="00A44F68" w:rsidRDefault="00A44F68" w:rsidP="00A44F68"/>
    <w:p w:rsidR="006E35A7" w:rsidRPr="006E35A7" w:rsidRDefault="006E35A7" w:rsidP="00A44F68">
      <w:pPr>
        <w:rPr>
          <w:color w:val="E36C0A" w:themeColor="accent6" w:themeShade="BF"/>
        </w:rPr>
      </w:pPr>
      <w:r w:rsidRPr="006E35A7">
        <w:rPr>
          <w:b/>
          <w:color w:val="E36C0A" w:themeColor="accent6" w:themeShade="BF"/>
        </w:rPr>
        <w:t xml:space="preserve">Melissa: </w:t>
      </w:r>
      <w:r w:rsidR="00A44F68" w:rsidRPr="006E35A7">
        <w:rPr>
          <w:color w:val="E36C0A" w:themeColor="accent6" w:themeShade="BF"/>
        </w:rPr>
        <w:t xml:space="preserve">There are several data collection methods to measure the success of your PD events. </w:t>
      </w:r>
    </w:p>
    <w:p w:rsidR="006E35A7" w:rsidRDefault="006E35A7" w:rsidP="00A44F68"/>
    <w:p w:rsidR="00A44F68" w:rsidRDefault="006E35A7" w:rsidP="00A44F68">
      <w:r w:rsidRPr="006E35A7">
        <w:rPr>
          <w:b/>
        </w:rPr>
        <w:t>Bridget:</w:t>
      </w:r>
      <w:r>
        <w:t xml:space="preserve"> </w:t>
      </w:r>
      <w:r w:rsidR="00A44F68">
        <w:t>We</w:t>
      </w:r>
      <w:r w:rsidR="00E65B64">
        <w:t xml:space="preserve"> will </w:t>
      </w:r>
      <w:r w:rsidR="00A44F68">
        <w:t>talk about pre-</w:t>
      </w:r>
      <w:r w:rsidR="00BF5A24">
        <w:t xml:space="preserve"> and </w:t>
      </w:r>
      <w:r w:rsidR="00A44F68">
        <w:t>post</w:t>
      </w:r>
      <w:r w:rsidR="00BF5A24">
        <w:t>-</w:t>
      </w:r>
      <w:r w:rsidR="00A44F68">
        <w:t xml:space="preserve">questionnaires and evaluation forms </w:t>
      </w:r>
      <w:r w:rsidR="005434EB">
        <w:t>now</w:t>
      </w:r>
      <w:r w:rsidR="00A44F68">
        <w:t>.</w:t>
      </w:r>
    </w:p>
    <w:p w:rsidR="00A44F68" w:rsidRDefault="00C27EED" w:rsidP="00A8471D">
      <w:pPr>
        <w:pStyle w:val="Heading3"/>
      </w:pPr>
      <w:r>
        <w:t xml:space="preserve">Characteristics of Effective Evaluation: </w:t>
      </w:r>
      <w:r w:rsidR="00626B07">
        <w:t>Pre-Post Questionnaires</w:t>
      </w:r>
    </w:p>
    <w:p w:rsidR="00A44F68" w:rsidRDefault="00BF7638" w:rsidP="00A44F68">
      <w:r w:rsidRPr="00C27EED">
        <w:rPr>
          <w:b/>
        </w:rPr>
        <w:t>Bridget:</w:t>
      </w:r>
      <w:r>
        <w:rPr>
          <w:b/>
        </w:rPr>
        <w:t xml:space="preserve"> </w:t>
      </w:r>
      <w:r w:rsidR="00A44F68">
        <w:t>Traditionally, participants complete a pre-questionnaire on a set of items before training and then complete a post-questionnaire on the same set of items using the same rating scale at the end of the training.</w:t>
      </w:r>
    </w:p>
    <w:p w:rsidR="00A44F68" w:rsidRDefault="00A44F68" w:rsidP="00A44F68"/>
    <w:p w:rsidR="00A44F68" w:rsidRDefault="00FD35D0" w:rsidP="00A44F68">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A44F68" w:rsidRPr="003F2E98">
        <w:rPr>
          <w:color w:val="E36C0A" w:themeColor="accent6" w:themeShade="BF"/>
        </w:rPr>
        <w:t>The assumption is that the difference in reported awareness, knowledge</w:t>
      </w:r>
      <w:r w:rsidR="00A44F68">
        <w:rPr>
          <w:color w:val="E36C0A" w:themeColor="accent6" w:themeShade="BF"/>
        </w:rPr>
        <w:t>,</w:t>
      </w:r>
      <w:r w:rsidR="00A44F68" w:rsidRPr="003F2E98">
        <w:rPr>
          <w:color w:val="E36C0A" w:themeColor="accent6" w:themeShade="BF"/>
        </w:rPr>
        <w:t xml:space="preserve"> or confidence between the pre- and post-questionnaires represents the effects of the training.</w:t>
      </w:r>
    </w:p>
    <w:p w:rsidR="00A44F68" w:rsidRDefault="00A44F68" w:rsidP="00A44F68"/>
    <w:p w:rsidR="00A44F68" w:rsidRDefault="00BF7638" w:rsidP="00A44F68">
      <w:r w:rsidRPr="00C27EED">
        <w:rPr>
          <w:b/>
        </w:rPr>
        <w:t>Bridget:</w:t>
      </w:r>
      <w:r w:rsidR="00A44F68">
        <w:t xml:space="preserve"> Yes, but in recent years research has shown that this method may underestimate the impact of training. Participants frequently overestimate their knowledge or skills on the pre-assessment! As a result, the difference in pre- and post-responses will be biased because of overestimating the original competency.</w:t>
      </w:r>
    </w:p>
    <w:p w:rsidR="00A44F68" w:rsidRDefault="00A44F68" w:rsidP="00A44F68"/>
    <w:p w:rsidR="00A44F68" w:rsidRDefault="00A44F68" w:rsidP="00A44F68">
      <w:r>
        <w:t>A better method is what is called the “retrospective pre-post method.” Participants complete one questionnaire at the end of the training.</w:t>
      </w:r>
    </w:p>
    <w:p w:rsidR="00A44F68" w:rsidRDefault="00A44F68" w:rsidP="00A44F68"/>
    <w:p w:rsidR="00A44F68" w:rsidRDefault="00FD35D0" w:rsidP="00A44F68">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A44F68" w:rsidRPr="00E32A68">
        <w:rPr>
          <w:color w:val="E36C0A" w:themeColor="accent6" w:themeShade="BF"/>
        </w:rPr>
        <w:t>Yes, they are asked to estimate, retrospectively, their knowledge or skill level before the training and then to assess it now, after the training.</w:t>
      </w:r>
    </w:p>
    <w:p w:rsidR="00A44F68" w:rsidRDefault="00A44F68" w:rsidP="00A44F68"/>
    <w:p w:rsidR="00A44F68" w:rsidRDefault="00BF7638" w:rsidP="00A44F68">
      <w:r w:rsidRPr="00C27EED">
        <w:rPr>
          <w:b/>
        </w:rPr>
        <w:lastRenderedPageBreak/>
        <w:t>Bridget:</w:t>
      </w:r>
      <w:r w:rsidR="00A44F68">
        <w:t xml:space="preserve"> Exactly. This lessens the probability of bias because the participants use the same frame of reference to answer both pre-and post-questions. </w:t>
      </w:r>
    </w:p>
    <w:p w:rsidR="00A44F68" w:rsidRDefault="00A44F68" w:rsidP="00A44F68"/>
    <w:p w:rsidR="00A44F68" w:rsidRDefault="00FD35D0" w:rsidP="00A44F68">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A44F68" w:rsidRPr="00E32A68">
        <w:rPr>
          <w:color w:val="E36C0A" w:themeColor="accent6" w:themeShade="BF"/>
        </w:rPr>
        <w:t>The data you collect will only be as good as the questions you ask.</w:t>
      </w:r>
    </w:p>
    <w:p w:rsidR="00A44F68" w:rsidRDefault="00A44F68" w:rsidP="00A44F68"/>
    <w:p w:rsidR="00A44F68" w:rsidRDefault="00BF7638" w:rsidP="00A44F68">
      <w:r w:rsidRPr="00C27EED">
        <w:rPr>
          <w:b/>
        </w:rPr>
        <w:t>Bridget:</w:t>
      </w:r>
      <w:r w:rsidR="005434EB">
        <w:t xml:space="preserve"> That’</w:t>
      </w:r>
      <w:r w:rsidR="00A44F68">
        <w:t>s so true. Careful wording is important, but remember when we were talking about developing objectives during the Design practice? Starting with a set of clear learning objectives is THE most important element of good evaluation because it is those objectives that are the basis for measuring participant change.</w:t>
      </w:r>
    </w:p>
    <w:p w:rsidR="00A44F68" w:rsidRDefault="00A44F68" w:rsidP="00A44F68"/>
    <w:p w:rsidR="00A44F68" w:rsidRDefault="00A44F68" w:rsidP="00A44F68">
      <w:r>
        <w:t>General guidelines for designing a good retrospective pre-post questionnaire are:</w:t>
      </w:r>
    </w:p>
    <w:p w:rsidR="00A44F68" w:rsidRDefault="00A44F68" w:rsidP="005434EB">
      <w:pPr>
        <w:pStyle w:val="ListParagraph"/>
        <w:numPr>
          <w:ilvl w:val="0"/>
          <w:numId w:val="29"/>
        </w:numPr>
        <w:ind w:left="720"/>
      </w:pPr>
      <w:r>
        <w:t>Use concise instructions that clearly guide the respondent in what to do.</w:t>
      </w:r>
    </w:p>
    <w:p w:rsidR="00A44F68" w:rsidRDefault="00A44F68" w:rsidP="00A44F68"/>
    <w:p w:rsidR="00A44F68" w:rsidRPr="002D2B36" w:rsidRDefault="00FD35D0" w:rsidP="00A44F68">
      <w:pPr>
        <w:rPr>
          <w:color w:val="E36C0A" w:themeColor="accent6" w:themeShade="BF"/>
        </w:rPr>
      </w:pPr>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A44F68" w:rsidRPr="00CD27C8">
        <w:rPr>
          <w:color w:val="E36C0A" w:themeColor="accent6" w:themeShade="BF"/>
        </w:rPr>
        <w:t xml:space="preserve">This is a good time to remind the respondent to provide two answers for each question: one for past </w:t>
      </w:r>
      <w:r w:rsidR="00A44F68">
        <w:rPr>
          <w:color w:val="E36C0A" w:themeColor="accent6" w:themeShade="BF"/>
        </w:rPr>
        <w:t xml:space="preserve">assessment of </w:t>
      </w:r>
      <w:r w:rsidR="00A44F68" w:rsidRPr="00CD27C8">
        <w:rPr>
          <w:color w:val="E36C0A" w:themeColor="accent6" w:themeShade="BF"/>
        </w:rPr>
        <w:t>knowledge</w:t>
      </w:r>
      <w:r w:rsidR="00A44F68">
        <w:rPr>
          <w:color w:val="E36C0A" w:themeColor="accent6" w:themeShade="BF"/>
        </w:rPr>
        <w:t>,</w:t>
      </w:r>
      <w:r w:rsidR="00A44F68" w:rsidRPr="00CD27C8">
        <w:rPr>
          <w:color w:val="E36C0A" w:themeColor="accent6" w:themeShade="BF"/>
        </w:rPr>
        <w:t xml:space="preserve"> skills</w:t>
      </w:r>
      <w:r w:rsidR="00A44F68">
        <w:rPr>
          <w:color w:val="E36C0A" w:themeColor="accent6" w:themeShade="BF"/>
        </w:rPr>
        <w:t>, and attitudes</w:t>
      </w:r>
      <w:r w:rsidR="00A44F68" w:rsidRPr="00CD27C8">
        <w:rPr>
          <w:color w:val="E36C0A" w:themeColor="accent6" w:themeShade="BF"/>
        </w:rPr>
        <w:t xml:space="preserve"> and one for a current assessment.</w:t>
      </w:r>
    </w:p>
    <w:p w:rsidR="00A44F68" w:rsidRDefault="00A44F68" w:rsidP="00A44F68"/>
    <w:p w:rsidR="00BF7638" w:rsidRDefault="00BF7638" w:rsidP="00A44F68">
      <w:r w:rsidRPr="00C27EED">
        <w:rPr>
          <w:b/>
        </w:rPr>
        <w:t>Bridget:</w:t>
      </w:r>
    </w:p>
    <w:p w:rsidR="00A44F68" w:rsidRDefault="00A44F68" w:rsidP="005434EB">
      <w:pPr>
        <w:pStyle w:val="ListParagraph"/>
        <w:numPr>
          <w:ilvl w:val="0"/>
          <w:numId w:val="29"/>
        </w:numPr>
        <w:ind w:left="720"/>
      </w:pPr>
      <w:r>
        <w:t>Place the pre-training question first on the form.</w:t>
      </w:r>
    </w:p>
    <w:p w:rsidR="00A44F68" w:rsidRDefault="00A44F68" w:rsidP="00A44F68"/>
    <w:p w:rsidR="00A44F68" w:rsidRDefault="00FD35D0" w:rsidP="00A44F68">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5434EB">
        <w:rPr>
          <w:color w:val="E36C0A" w:themeColor="accent6" w:themeShade="BF"/>
        </w:rPr>
        <w:t>There’</w:t>
      </w:r>
      <w:r w:rsidR="00A44F68" w:rsidRPr="00CD27C8">
        <w:rPr>
          <w:color w:val="E36C0A" w:themeColor="accent6" w:themeShade="BF"/>
        </w:rPr>
        <w:t>s less confusion that way.</w:t>
      </w:r>
    </w:p>
    <w:p w:rsidR="00A44F68" w:rsidRDefault="00A44F68" w:rsidP="00A44F68"/>
    <w:p w:rsidR="00BF7638" w:rsidRDefault="00BF7638" w:rsidP="00A44F68">
      <w:r w:rsidRPr="00C27EED">
        <w:rPr>
          <w:b/>
        </w:rPr>
        <w:t>Bridget:</w:t>
      </w:r>
    </w:p>
    <w:p w:rsidR="00A44F68" w:rsidRDefault="00A44F68" w:rsidP="005434EB">
      <w:pPr>
        <w:pStyle w:val="ListParagraph"/>
        <w:numPr>
          <w:ilvl w:val="0"/>
          <w:numId w:val="29"/>
        </w:numPr>
        <w:ind w:left="720"/>
      </w:pPr>
      <w:r>
        <w:t>Format the questionnaire in a way that helps re</w:t>
      </w:r>
      <w:r w:rsidR="005434EB">
        <w:t>spondents understand what they</w:t>
      </w:r>
      <w:r w:rsidR="00BB185C">
        <w:t xml:space="preserve"> are</w:t>
      </w:r>
      <w:r>
        <w:t xml:space="preserve"> being asked to do.</w:t>
      </w:r>
    </w:p>
    <w:p w:rsidR="00A44F68" w:rsidRDefault="00A44F68" w:rsidP="00A44F68"/>
    <w:p w:rsidR="00A44F68" w:rsidRDefault="00FD35D0" w:rsidP="00A44F68">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A44F68" w:rsidRPr="00CD27C8">
        <w:rPr>
          <w:color w:val="E36C0A" w:themeColor="accent6" w:themeShade="BF"/>
        </w:rPr>
        <w:t>For example, use shading, font styles, and question layouts that call attention to the pre-post ratings.</w:t>
      </w:r>
    </w:p>
    <w:p w:rsidR="00A44F68" w:rsidRDefault="00C27EED" w:rsidP="00A8471D">
      <w:pPr>
        <w:pStyle w:val="Heading3"/>
      </w:pPr>
      <w:r>
        <w:t xml:space="preserve">Characteristics of Effective Evaluation: </w:t>
      </w:r>
      <w:r w:rsidR="00626B07">
        <w:t>Evaluation Forms</w:t>
      </w:r>
    </w:p>
    <w:p w:rsidR="00A44F68" w:rsidRDefault="00BF7638" w:rsidP="00A44F68">
      <w:r w:rsidRPr="00C27EED">
        <w:rPr>
          <w:b/>
        </w:rPr>
        <w:t>Bridget:</w:t>
      </w:r>
      <w:r>
        <w:rPr>
          <w:b/>
        </w:rPr>
        <w:t xml:space="preserve"> </w:t>
      </w:r>
      <w:r w:rsidR="00A44F68">
        <w:t>Another method to collect data is the evaluation form. Good design includes options for both quantitative and qualitative responses; that is, developing both direct and open-ended questions.</w:t>
      </w:r>
    </w:p>
    <w:p w:rsidR="00A44F68" w:rsidRDefault="00A44F68" w:rsidP="00A44F68"/>
    <w:p w:rsidR="00A44F68" w:rsidRDefault="00FD35D0" w:rsidP="00A44F68">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A44F68" w:rsidRPr="005B4008">
        <w:rPr>
          <w:color w:val="E36C0A" w:themeColor="accent6" w:themeShade="BF"/>
        </w:rPr>
        <w:t>Quantitative response options can take the form of yes-no answers, checklists, and rating scales.</w:t>
      </w:r>
    </w:p>
    <w:p w:rsidR="00A44F68" w:rsidRDefault="00A44F68" w:rsidP="00A44F68"/>
    <w:p w:rsidR="00A44F68" w:rsidRDefault="00BF7638" w:rsidP="00A44F68">
      <w:r w:rsidRPr="00C27EED">
        <w:rPr>
          <w:b/>
        </w:rPr>
        <w:t>Bridget:</w:t>
      </w:r>
      <w:r w:rsidR="00A44F68">
        <w:t xml:space="preserve"> Exactly! When developing questions for quantitative responses, a couple of things to keep in mind are:</w:t>
      </w:r>
    </w:p>
    <w:p w:rsidR="00A44F68" w:rsidRDefault="00A44F68" w:rsidP="00A44F68">
      <w:pPr>
        <w:pStyle w:val="ListParagraph"/>
        <w:numPr>
          <w:ilvl w:val="0"/>
          <w:numId w:val="30"/>
        </w:numPr>
      </w:pPr>
      <w:r>
        <w:t>Make response options as clear as possible.</w:t>
      </w:r>
    </w:p>
    <w:p w:rsidR="00A44F68" w:rsidRDefault="00A44F68" w:rsidP="00A44F68">
      <w:pPr>
        <w:pStyle w:val="ListParagraph"/>
        <w:numPr>
          <w:ilvl w:val="0"/>
          <w:numId w:val="30"/>
        </w:numPr>
      </w:pPr>
      <w:r>
        <w:t>Standardize response categories and scales to make them uniformly consistent.</w:t>
      </w:r>
    </w:p>
    <w:p w:rsidR="00A44F68" w:rsidRDefault="00A44F68" w:rsidP="00A44F68">
      <w:pPr>
        <w:pStyle w:val="ListParagraph"/>
        <w:numPr>
          <w:ilvl w:val="0"/>
          <w:numId w:val="30"/>
        </w:numPr>
      </w:pPr>
      <w:r>
        <w:t>Avoid biased words or phrases and jargon.</w:t>
      </w:r>
    </w:p>
    <w:p w:rsidR="00A44F68" w:rsidRDefault="00A44F68" w:rsidP="00A44F68">
      <w:pPr>
        <w:pStyle w:val="ListParagraph"/>
        <w:numPr>
          <w:ilvl w:val="0"/>
          <w:numId w:val="30"/>
        </w:numPr>
      </w:pPr>
      <w:r>
        <w:t>Ensure response options are linked to an item that expresses a single issue.</w:t>
      </w:r>
    </w:p>
    <w:p w:rsidR="00A44F68" w:rsidRDefault="00A44F68" w:rsidP="00A44F68"/>
    <w:p w:rsidR="00A44F68" w:rsidRDefault="00FD35D0" w:rsidP="00A44F68">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A44F68" w:rsidRPr="009C32BC">
        <w:rPr>
          <w:color w:val="E36C0A" w:themeColor="accent6" w:themeShade="BF"/>
        </w:rPr>
        <w:t>This makes interpretation of responses generally straightforward.</w:t>
      </w:r>
    </w:p>
    <w:p w:rsidR="00A44F68" w:rsidRDefault="00A44F68" w:rsidP="00A44F68"/>
    <w:p w:rsidR="00A44F68" w:rsidRDefault="00BF7638" w:rsidP="00A44F68">
      <w:r w:rsidRPr="00C27EED">
        <w:rPr>
          <w:b/>
        </w:rPr>
        <w:t>Bridget:</w:t>
      </w:r>
      <w:r w:rsidR="00A44F68">
        <w:t xml:space="preserve"> Qualitative or narrative responses to open-ended questions provide opportunities for participants to share detailed comments or information that was not addressed in previous questions.</w:t>
      </w:r>
    </w:p>
    <w:p w:rsidR="00A44F68" w:rsidRDefault="00A44F68" w:rsidP="00A44F68"/>
    <w:p w:rsidR="00A44F68" w:rsidRDefault="00FD35D0" w:rsidP="00A44F68">
      <w:pPr>
        <w:rPr>
          <w:color w:val="E36C0A" w:themeColor="accent6" w:themeShade="BF"/>
        </w:rPr>
      </w:pPr>
      <w:r w:rsidRPr="00FD35D0">
        <w:rPr>
          <w:b/>
          <w:color w:val="E36C0A" w:themeColor="accent6" w:themeShade="BF"/>
        </w:rPr>
        <w:lastRenderedPageBreak/>
        <w:t>Melissa</w:t>
      </w:r>
      <w:r w:rsidR="00BF7638" w:rsidRPr="00EE2CB0">
        <w:rPr>
          <w:b/>
          <w:color w:val="E36C0A" w:themeColor="accent6" w:themeShade="BF"/>
        </w:rPr>
        <w:t>:</w:t>
      </w:r>
      <w:r w:rsidR="00BF7638">
        <w:rPr>
          <w:color w:val="E36C0A" w:themeColor="accent6" w:themeShade="BF"/>
        </w:rPr>
        <w:t xml:space="preserve"> </w:t>
      </w:r>
      <w:r w:rsidR="00A44F68" w:rsidRPr="003548A0">
        <w:rPr>
          <w:color w:val="E36C0A" w:themeColor="accent6" w:themeShade="BF"/>
        </w:rPr>
        <w:t>It also provides you with an opportunity to ask additional questions for follow-up information.</w:t>
      </w:r>
    </w:p>
    <w:p w:rsidR="00A44F68" w:rsidRDefault="00A44F68" w:rsidP="00A44F68">
      <w:pPr>
        <w:rPr>
          <w:color w:val="E36C0A" w:themeColor="accent6" w:themeShade="BF"/>
        </w:rPr>
      </w:pPr>
    </w:p>
    <w:p w:rsidR="00A44F68" w:rsidRPr="00044BED" w:rsidRDefault="00A44F68" w:rsidP="00A44F68">
      <w:pPr>
        <w:rPr>
          <w:color w:val="E36C0A" w:themeColor="accent6" w:themeShade="BF"/>
        </w:rPr>
      </w:pPr>
      <w:r>
        <w:rPr>
          <w:color w:val="E36C0A" w:themeColor="accent6" w:themeShade="BF"/>
        </w:rPr>
        <w:t>Another resource we’ve provided to help you develop your evaluation questions is the “</w:t>
      </w:r>
      <w:r w:rsidRPr="005434EB">
        <w:rPr>
          <w:i/>
          <w:color w:val="E36C0A" w:themeColor="accent6" w:themeShade="BF"/>
        </w:rPr>
        <w:t>Data Collection Framework</w:t>
      </w:r>
      <w:r>
        <w:rPr>
          <w:color w:val="E36C0A" w:themeColor="accent6" w:themeShade="BF"/>
        </w:rPr>
        <w:t>.”</w:t>
      </w:r>
    </w:p>
    <w:p w:rsidR="00A44F68" w:rsidRDefault="00626B07" w:rsidP="00A8471D">
      <w:pPr>
        <w:pStyle w:val="Heading3"/>
      </w:pPr>
      <w:r>
        <w:t>Key Strategies</w:t>
      </w:r>
    </w:p>
    <w:p w:rsidR="00A44F68" w:rsidRPr="00C62623" w:rsidRDefault="00BF7638" w:rsidP="00A44F68">
      <w:pPr>
        <w:rPr>
          <w:iCs/>
        </w:rPr>
      </w:pPr>
      <w:r w:rsidRPr="00C27EED">
        <w:rPr>
          <w:b/>
        </w:rPr>
        <w:t>Bridget:</w:t>
      </w:r>
      <w:r>
        <w:rPr>
          <w:b/>
        </w:rPr>
        <w:t xml:space="preserve"> </w:t>
      </w:r>
      <w:r w:rsidR="00A44F68">
        <w:rPr>
          <w:iCs/>
        </w:rPr>
        <w:t>Finally, key s</w:t>
      </w:r>
      <w:r w:rsidR="00A44F68" w:rsidRPr="00C62623">
        <w:rPr>
          <w:iCs/>
        </w:rPr>
        <w:t>trategies to implement</w:t>
      </w:r>
      <w:r w:rsidR="00A44F68">
        <w:rPr>
          <w:iCs/>
        </w:rPr>
        <w:t xml:space="preserve"> include</w:t>
      </w:r>
      <w:r w:rsidR="00A44F68" w:rsidRPr="00C62623">
        <w:rPr>
          <w:iCs/>
        </w:rPr>
        <w:t>:</w:t>
      </w:r>
    </w:p>
    <w:p w:rsidR="00A44F68" w:rsidRPr="00D936D3" w:rsidRDefault="00A44F68" w:rsidP="00A44F68">
      <w:pPr>
        <w:numPr>
          <w:ilvl w:val="0"/>
          <w:numId w:val="31"/>
        </w:numPr>
      </w:pPr>
      <w:r w:rsidRPr="00D936D3">
        <w:t xml:space="preserve">Develop </w:t>
      </w:r>
      <w:r>
        <w:t>a</w:t>
      </w:r>
      <w:r w:rsidRPr="00D936D3">
        <w:t xml:space="preserve"> plan </w:t>
      </w:r>
      <w:r>
        <w:t xml:space="preserve">to measure your stated </w:t>
      </w:r>
      <w:r w:rsidRPr="00D936D3">
        <w:t>objectives</w:t>
      </w:r>
      <w:r>
        <w:t>.</w:t>
      </w:r>
    </w:p>
    <w:p w:rsidR="00A44F68" w:rsidRPr="00D936D3" w:rsidRDefault="00A44F68" w:rsidP="00A44F68">
      <w:pPr>
        <w:numPr>
          <w:ilvl w:val="0"/>
          <w:numId w:val="31"/>
        </w:numPr>
      </w:pPr>
      <w:r w:rsidRPr="00D936D3">
        <w:t>Identify or create instruments</w:t>
      </w:r>
      <w:r>
        <w:t xml:space="preserve"> to collect evaluation data.</w:t>
      </w:r>
    </w:p>
    <w:p w:rsidR="00A44F68" w:rsidRDefault="00A44F68" w:rsidP="00A44F68">
      <w:pPr>
        <w:numPr>
          <w:ilvl w:val="0"/>
          <w:numId w:val="31"/>
        </w:numPr>
      </w:pPr>
      <w:r w:rsidRPr="00D936D3">
        <w:t>Collect process and outcome data</w:t>
      </w:r>
      <w:r>
        <w:t>.</w:t>
      </w:r>
    </w:p>
    <w:p w:rsidR="00A44F68" w:rsidRDefault="00A44F68" w:rsidP="00A44F68"/>
    <w:p w:rsidR="00A44F68" w:rsidRPr="00D936D3" w:rsidRDefault="00FD35D0" w:rsidP="00A44F68">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A44F68" w:rsidRPr="005E6F7F">
        <w:rPr>
          <w:color w:val="E36C0A" w:themeColor="accent6" w:themeShade="BF"/>
        </w:rPr>
        <w:t xml:space="preserve">As always, refer to the </w:t>
      </w:r>
      <w:r w:rsidR="00A44F68" w:rsidRPr="005E6F7F">
        <w:rPr>
          <w:iCs/>
          <w:color w:val="E36C0A" w:themeColor="accent6" w:themeShade="BF"/>
        </w:rPr>
        <w:t>list of strategies in Additional Resources. Also, check out the “</w:t>
      </w:r>
      <w:r w:rsidR="00A44F68" w:rsidRPr="005434EB">
        <w:rPr>
          <w:i/>
          <w:iCs/>
          <w:color w:val="E36C0A" w:themeColor="accent6" w:themeShade="BF"/>
        </w:rPr>
        <w:t>Five Critical Levels of Evaluation</w:t>
      </w:r>
      <w:r w:rsidR="00A44F68" w:rsidRPr="005E6F7F">
        <w:rPr>
          <w:iCs/>
          <w:color w:val="E36C0A" w:themeColor="accent6" w:themeShade="BF"/>
        </w:rPr>
        <w:t>” to help you determine how far you want to go with the evaluation of your PD event.</w:t>
      </w:r>
    </w:p>
    <w:p w:rsidR="00A44F68" w:rsidRDefault="00A44F68" w:rsidP="0004307E"/>
    <w:p w:rsidR="00A44F68" w:rsidRDefault="00BF7638" w:rsidP="00A44F68">
      <w:r w:rsidRPr="00C27EED">
        <w:rPr>
          <w:b/>
        </w:rPr>
        <w:t>Bridget:</w:t>
      </w:r>
      <w:r>
        <w:rPr>
          <w:b/>
        </w:rPr>
        <w:t xml:space="preserve"> </w:t>
      </w:r>
      <w:r w:rsidR="001C7B2A">
        <w:t>We have now covered the rest of the PD Practices. Let’s do one more exercise to go over the Evaluate practice before we wrap up.</w:t>
      </w:r>
    </w:p>
    <w:p w:rsidR="00A44F68" w:rsidRDefault="00A44F68" w:rsidP="0004307E"/>
    <w:p w:rsidR="00A44F68" w:rsidRPr="00FD35D0" w:rsidRDefault="00FD35D0" w:rsidP="0004307E">
      <w:pPr>
        <w:rPr>
          <w:i/>
        </w:rPr>
      </w:pPr>
      <w:r w:rsidRPr="00FD35D0">
        <w:rPr>
          <w:i/>
        </w:rPr>
        <w:t>[</w:t>
      </w:r>
      <w:r w:rsidR="00A44F68" w:rsidRPr="00FD35D0">
        <w:rPr>
          <w:i/>
        </w:rPr>
        <w:t>Learning Activity</w:t>
      </w:r>
      <w:r w:rsidR="001C7B2A">
        <w:rPr>
          <w:i/>
        </w:rPr>
        <w:t xml:space="preserve"> 3</w:t>
      </w:r>
      <w:r w:rsidRPr="00FD35D0">
        <w:rPr>
          <w:i/>
        </w:rPr>
        <w:t xml:space="preserve">: </w:t>
      </w:r>
      <w:r w:rsidR="001C7B2A">
        <w:rPr>
          <w:i/>
        </w:rPr>
        <w:t>Evaluate review</w:t>
      </w:r>
      <w:r w:rsidRPr="00FD35D0">
        <w:rPr>
          <w:i/>
        </w:rPr>
        <w:t>]</w:t>
      </w:r>
    </w:p>
    <w:p w:rsidR="00A44F68" w:rsidRDefault="00A44F68" w:rsidP="00A44F68">
      <w:pPr>
        <w:pStyle w:val="Heading1"/>
      </w:pPr>
      <w:r>
        <w:t>SECTION 6: CONCLUSION</w:t>
      </w:r>
    </w:p>
    <w:p w:rsidR="00A44F68" w:rsidRPr="0089631D" w:rsidRDefault="00A44F68" w:rsidP="00A8471D">
      <w:pPr>
        <w:pStyle w:val="Heading2"/>
      </w:pPr>
      <w:r w:rsidRPr="0089631D">
        <w:t>SUMMARY</w:t>
      </w:r>
    </w:p>
    <w:p w:rsidR="00A44F68" w:rsidRDefault="00BF7638" w:rsidP="00A44F68">
      <w:r w:rsidRPr="00C27EED">
        <w:rPr>
          <w:b/>
        </w:rPr>
        <w:t>Bridget:</w:t>
      </w:r>
      <w:r>
        <w:rPr>
          <w:b/>
        </w:rPr>
        <w:t xml:space="preserve"> </w:t>
      </w:r>
      <w:r w:rsidR="00A44F68">
        <w:t>Remember</w:t>
      </w:r>
      <w:r w:rsidR="006E35A7">
        <w:t>,</w:t>
      </w:r>
      <w:r w:rsidR="00A44F68">
        <w:t xml:space="preserve"> we started our discussion of Professional Development basics by introducing you to the six PD Practices.</w:t>
      </w:r>
    </w:p>
    <w:p w:rsidR="00A44F68" w:rsidRDefault="00A44F68" w:rsidP="00A44F68"/>
    <w:p w:rsidR="008A77A3" w:rsidRDefault="008A77A3" w:rsidP="008A77A3">
      <w:r>
        <w:t xml:space="preserve">In Part 1, we talked about how </w:t>
      </w:r>
      <w:r>
        <w:rPr>
          <w:b/>
        </w:rPr>
        <w:t>su</w:t>
      </w:r>
      <w:r w:rsidRPr="00F37EE6">
        <w:rPr>
          <w:b/>
        </w:rPr>
        <w:t>staining</w:t>
      </w:r>
      <w:r>
        <w:t xml:space="preserve"> a PD infrastructure builds</w:t>
      </w:r>
      <w:r w:rsidRPr="000E7276">
        <w:t xml:space="preserve"> </w:t>
      </w:r>
      <w:r w:rsidRPr="00272DDC">
        <w:rPr>
          <w:bCs/>
        </w:rPr>
        <w:t>capacity</w:t>
      </w:r>
      <w:r>
        <w:rPr>
          <w:bCs/>
        </w:rPr>
        <w:t xml:space="preserve"> and how PD Practices</w:t>
      </w:r>
      <w:r>
        <w:t xml:space="preserve"> allow you</w:t>
      </w:r>
      <w:r w:rsidRPr="002E24F5">
        <w:t xml:space="preserve"> to </w:t>
      </w:r>
      <w:r w:rsidRPr="00F37EE6">
        <w:rPr>
          <w:b/>
        </w:rPr>
        <w:t>design</w:t>
      </w:r>
      <w:r w:rsidRPr="002E24F5">
        <w:t xml:space="preserve"> </w:t>
      </w:r>
      <w:r>
        <w:t xml:space="preserve">instructionally </w:t>
      </w:r>
      <w:r w:rsidRPr="002E24F5">
        <w:t>so</w:t>
      </w:r>
      <w:r>
        <w:t xml:space="preserve">und activities under optimal conditions. We also talked about how to </w:t>
      </w:r>
      <w:r>
        <w:rPr>
          <w:b/>
        </w:rPr>
        <w:t>m</w:t>
      </w:r>
      <w:r w:rsidRPr="00F37EE6">
        <w:rPr>
          <w:b/>
        </w:rPr>
        <w:t>arket</w:t>
      </w:r>
      <w:r w:rsidRPr="002469E2">
        <w:t xml:space="preserve"> </w:t>
      </w:r>
      <w:r>
        <w:t xml:space="preserve">your PD services. </w:t>
      </w:r>
    </w:p>
    <w:p w:rsidR="008A77A3" w:rsidRDefault="008A77A3" w:rsidP="008A77A3"/>
    <w:p w:rsidR="00A44F68" w:rsidRDefault="008A77A3" w:rsidP="00A44F68">
      <w:r>
        <w:t xml:space="preserve">In Part 2, you learned some </w:t>
      </w:r>
      <w:r>
        <w:rPr>
          <w:b/>
        </w:rPr>
        <w:t>d</w:t>
      </w:r>
      <w:r w:rsidRPr="00F37EE6">
        <w:rPr>
          <w:b/>
        </w:rPr>
        <w:t>elivery</w:t>
      </w:r>
      <w:r w:rsidRPr="002469E2">
        <w:t xml:space="preserve"> </w:t>
      </w:r>
      <w:r>
        <w:t xml:space="preserve">tips to make your offerings streamlined, </w:t>
      </w:r>
      <w:r w:rsidRPr="002469E2">
        <w:t>responsive</w:t>
      </w:r>
      <w:r>
        <w:t>,</w:t>
      </w:r>
      <w:r w:rsidRPr="002469E2">
        <w:t xml:space="preserve"> and timely</w:t>
      </w:r>
      <w:r>
        <w:t xml:space="preserve">, and you learned about the importance of </w:t>
      </w:r>
      <w:r>
        <w:rPr>
          <w:b/>
        </w:rPr>
        <w:t>f</w:t>
      </w:r>
      <w:r w:rsidRPr="00F37EE6">
        <w:rPr>
          <w:b/>
        </w:rPr>
        <w:t>ollow-up</w:t>
      </w:r>
      <w:r w:rsidRPr="002469E2">
        <w:t xml:space="preserve"> efforts </w:t>
      </w:r>
      <w:r>
        <w:t xml:space="preserve">and </w:t>
      </w:r>
      <w:r>
        <w:rPr>
          <w:b/>
        </w:rPr>
        <w:t>e</w:t>
      </w:r>
      <w:r w:rsidRPr="00F37EE6">
        <w:rPr>
          <w:b/>
        </w:rPr>
        <w:t>valuation</w:t>
      </w:r>
      <w:r w:rsidRPr="002469E2">
        <w:t xml:space="preserve"> </w:t>
      </w:r>
      <w:r>
        <w:t>to allow for</w:t>
      </w:r>
      <w:r w:rsidRPr="002469E2">
        <w:t xml:space="preserve"> </w:t>
      </w:r>
      <w:r>
        <w:t xml:space="preserve">continuous </w:t>
      </w:r>
      <w:r w:rsidRPr="002469E2">
        <w:t>improv</w:t>
      </w:r>
      <w:r>
        <w:t>ement.</w:t>
      </w:r>
    </w:p>
    <w:p w:rsidR="00A44F68" w:rsidRDefault="00626B07" w:rsidP="00A8471D">
      <w:pPr>
        <w:pStyle w:val="Heading3"/>
      </w:pPr>
      <w:r>
        <w:t>Next Steps</w:t>
      </w:r>
    </w:p>
    <w:p w:rsidR="00A44F68" w:rsidRDefault="00BF7638" w:rsidP="00A44F68">
      <w:r w:rsidRPr="00C27EED">
        <w:rPr>
          <w:b/>
        </w:rPr>
        <w:t>Bridget:</w:t>
      </w:r>
      <w:r>
        <w:rPr>
          <w:b/>
        </w:rPr>
        <w:t xml:space="preserve"> </w:t>
      </w:r>
      <w:r w:rsidR="00A44F68">
        <w:t xml:space="preserve">Throughout this course, I’ve given you several sneak previews about the next course in the series, </w:t>
      </w:r>
      <w:r w:rsidR="00A44F68">
        <w:rPr>
          <w:iCs/>
        </w:rPr>
        <w:t>“</w:t>
      </w:r>
      <w:r w:rsidR="00A44F68" w:rsidRPr="0048634B">
        <w:rPr>
          <w:i/>
          <w:iCs/>
        </w:rPr>
        <w:t>Professional Develop</w:t>
      </w:r>
      <w:bookmarkStart w:id="0" w:name="_GoBack"/>
      <w:bookmarkEnd w:id="0"/>
      <w:r w:rsidR="00A44F68" w:rsidRPr="0048634B">
        <w:rPr>
          <w:i/>
          <w:iCs/>
        </w:rPr>
        <w:t xml:space="preserve">ment 201: </w:t>
      </w:r>
      <w:r w:rsidR="00A44F68">
        <w:rPr>
          <w:i/>
          <w:iCs/>
        </w:rPr>
        <w:t>From Basic to Dynamic</w:t>
      </w:r>
      <w:r w:rsidR="00A44F68">
        <w:rPr>
          <w:iCs/>
        </w:rPr>
        <w:t>.”</w:t>
      </w:r>
      <w:r w:rsidR="00A44F68">
        <w:t xml:space="preserve"> I hope that has piqued your interest to participate!</w:t>
      </w:r>
    </w:p>
    <w:p w:rsidR="00A44F68" w:rsidRDefault="00A44F68" w:rsidP="00A44F68"/>
    <w:p w:rsidR="00A44F68" w:rsidRPr="006469E4" w:rsidRDefault="00A44F68" w:rsidP="00A44F68">
      <w:r>
        <w:t>PD201 will build on what we presented today, going further into adult learning principles, facilitation tips for online delivery, and lots of information on developing webinars, from pre-</w:t>
      </w:r>
      <w:r w:rsidR="00DC6A55">
        <w:t>production</w:t>
      </w:r>
      <w:r>
        <w:t xml:space="preserve"> to post-production</w:t>
      </w:r>
      <w:r w:rsidR="00DC6A55">
        <w:t>.</w:t>
      </w:r>
    </w:p>
    <w:p w:rsidR="0038547B" w:rsidRDefault="0038547B" w:rsidP="00A44F68"/>
    <w:p w:rsidR="00A44F68" w:rsidRDefault="0038547B" w:rsidP="00A44F68">
      <w:r>
        <w:lastRenderedPageBreak/>
        <w:t>L</w:t>
      </w:r>
      <w:r w:rsidR="00A44F68">
        <w:t>et’s end with a final activity that you can use to help you get started on using the PD Practices we’ve discussed today.</w:t>
      </w:r>
    </w:p>
    <w:p w:rsidR="00A44F68" w:rsidRDefault="00A44F68" w:rsidP="0004307E"/>
    <w:p w:rsidR="00A44F68" w:rsidRPr="00FD35D0" w:rsidRDefault="00FD35D0" w:rsidP="0004307E">
      <w:pPr>
        <w:rPr>
          <w:i/>
        </w:rPr>
      </w:pPr>
      <w:r w:rsidRPr="00FD35D0">
        <w:rPr>
          <w:i/>
        </w:rPr>
        <w:t>[</w:t>
      </w:r>
      <w:r w:rsidR="008A77A3">
        <w:rPr>
          <w:i/>
        </w:rPr>
        <w:t>Real-World Application</w:t>
      </w:r>
      <w:r w:rsidRPr="00FD35D0">
        <w:rPr>
          <w:i/>
        </w:rPr>
        <w:t>: c</w:t>
      </w:r>
      <w:r w:rsidR="00A44F68" w:rsidRPr="00FD35D0">
        <w:rPr>
          <w:i/>
        </w:rPr>
        <w:t>ompleting a worksheet of planned PD PRACTICES steps to complete</w:t>
      </w:r>
      <w:r w:rsidRPr="00FD35D0">
        <w:rPr>
          <w:i/>
        </w:rPr>
        <w:t>]</w:t>
      </w:r>
    </w:p>
    <w:p w:rsidR="00A44F68" w:rsidRDefault="00626B07" w:rsidP="00A8471D">
      <w:pPr>
        <w:pStyle w:val="Heading3"/>
      </w:pPr>
      <w:r>
        <w:t>Conclusion</w:t>
      </w:r>
    </w:p>
    <w:p w:rsidR="00A44F68" w:rsidRDefault="00BF7638" w:rsidP="00A44F68">
      <w:r w:rsidRPr="00C27EED">
        <w:rPr>
          <w:b/>
        </w:rPr>
        <w:t>Bridget:</w:t>
      </w:r>
      <w:r>
        <w:rPr>
          <w:b/>
        </w:rPr>
        <w:t xml:space="preserve"> </w:t>
      </w:r>
      <w:r w:rsidR="00A44F68">
        <w:t>Thank you so much for participating in “</w:t>
      </w:r>
      <w:r w:rsidR="00A44F68" w:rsidRPr="008C41AF">
        <w:rPr>
          <w:i/>
        </w:rPr>
        <w:t>Professional Development 101: The Basics</w:t>
      </w:r>
      <w:r w:rsidR="00244BA3">
        <w:t>.” We hope you’</w:t>
      </w:r>
      <w:r w:rsidR="00A44F68">
        <w:t>ve enjoyed it as much as we have.</w:t>
      </w:r>
    </w:p>
    <w:p w:rsidR="00A44F68" w:rsidRDefault="00A44F68" w:rsidP="00A44F68"/>
    <w:p w:rsidR="00A44F68" w:rsidRDefault="00A44F68" w:rsidP="00A44F68">
      <w:r>
        <w:t>Please take a few minutes to let us know what you thought of the course. We value your feedback and will use it for continuous improvement, as we continue to develop courses of interest.</w:t>
      </w:r>
    </w:p>
    <w:p w:rsidR="00A44F68" w:rsidRDefault="00A44F68" w:rsidP="00A44F68"/>
    <w:p w:rsidR="00A44F68" w:rsidRDefault="00A44F68" w:rsidP="00A44F68">
      <w:r>
        <w:t xml:space="preserve">Before you go, you can download a Certificate of Completion. </w:t>
      </w:r>
    </w:p>
    <w:p w:rsidR="00A44F68" w:rsidRDefault="00A44F68" w:rsidP="00A44F68"/>
    <w:p w:rsidR="00BF7638" w:rsidRDefault="00A44F68" w:rsidP="00A44F68">
      <w:r>
        <w:t>Take care!</w:t>
      </w:r>
      <w:r w:rsidR="00BF7638">
        <w:t xml:space="preserve"> </w:t>
      </w:r>
    </w:p>
    <w:p w:rsidR="00BF7638" w:rsidRDefault="00BF7638" w:rsidP="00A44F68"/>
    <w:p w:rsidR="00BF7638" w:rsidRPr="00BF7638" w:rsidRDefault="00FD35D0" w:rsidP="00A44F68">
      <w:pPr>
        <w:rPr>
          <w:color w:val="E36C0A" w:themeColor="accent6" w:themeShade="BF"/>
        </w:rPr>
      </w:pPr>
      <w:r w:rsidRPr="00FD35D0">
        <w:rPr>
          <w:b/>
          <w:color w:val="E36C0A" w:themeColor="accent6" w:themeShade="BF"/>
        </w:rPr>
        <w:t>Melissa</w:t>
      </w:r>
      <w:r w:rsidR="00BF7638" w:rsidRPr="00EE2CB0">
        <w:rPr>
          <w:b/>
          <w:color w:val="E36C0A" w:themeColor="accent6" w:themeShade="BF"/>
        </w:rPr>
        <w:t>:</w:t>
      </w:r>
      <w:r w:rsidR="00BF7638">
        <w:rPr>
          <w:color w:val="E36C0A" w:themeColor="accent6" w:themeShade="BF"/>
        </w:rPr>
        <w:t xml:space="preserve"> </w:t>
      </w:r>
      <w:r w:rsidR="00BF7638" w:rsidRPr="00BF7638">
        <w:rPr>
          <w:color w:val="E36C0A" w:themeColor="accent6" w:themeShade="BF"/>
        </w:rPr>
        <w:t>Take care!</w:t>
      </w:r>
    </w:p>
    <w:sectPr w:rsidR="00BF7638" w:rsidRPr="00BF76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F9" w:rsidRDefault="00A637F9" w:rsidP="00C975D5">
      <w:r>
        <w:separator/>
      </w:r>
    </w:p>
  </w:endnote>
  <w:endnote w:type="continuationSeparator" w:id="0">
    <w:p w:rsidR="00A637F9" w:rsidRDefault="00A637F9" w:rsidP="00C9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662433"/>
      <w:docPartObj>
        <w:docPartGallery w:val="Page Numbers (Bottom of Page)"/>
        <w:docPartUnique/>
      </w:docPartObj>
    </w:sdtPr>
    <w:sdtEndPr>
      <w:rPr>
        <w:noProof/>
      </w:rPr>
    </w:sdtEndPr>
    <w:sdtContent>
      <w:p w:rsidR="00A637F9" w:rsidRDefault="00A637F9">
        <w:pPr>
          <w:pStyle w:val="Footer"/>
          <w:jc w:val="right"/>
        </w:pPr>
        <w:r>
          <w:fldChar w:fldCharType="begin"/>
        </w:r>
        <w:r>
          <w:instrText xml:space="preserve"> PAGE   \* MERGEFORMAT </w:instrText>
        </w:r>
        <w:r>
          <w:fldChar w:fldCharType="separate"/>
        </w:r>
        <w:r w:rsidR="006E35A7">
          <w:rPr>
            <w:noProof/>
          </w:rPr>
          <w:t>11</w:t>
        </w:r>
        <w:r>
          <w:rPr>
            <w:noProof/>
          </w:rPr>
          <w:fldChar w:fldCharType="end"/>
        </w:r>
      </w:p>
    </w:sdtContent>
  </w:sdt>
  <w:p w:rsidR="00A637F9" w:rsidRDefault="00A63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F9" w:rsidRDefault="00A637F9" w:rsidP="00C975D5">
      <w:r>
        <w:separator/>
      </w:r>
    </w:p>
  </w:footnote>
  <w:footnote w:type="continuationSeparator" w:id="0">
    <w:p w:rsidR="00A637F9" w:rsidRDefault="00A637F9" w:rsidP="00C97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CA2"/>
    <w:multiLevelType w:val="hybridMultilevel"/>
    <w:tmpl w:val="2718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53C2A"/>
    <w:multiLevelType w:val="hybridMultilevel"/>
    <w:tmpl w:val="D400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54E84"/>
    <w:multiLevelType w:val="hybridMultilevel"/>
    <w:tmpl w:val="C6C897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33752C"/>
    <w:multiLevelType w:val="hybridMultilevel"/>
    <w:tmpl w:val="5E2AF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77345"/>
    <w:multiLevelType w:val="hybridMultilevel"/>
    <w:tmpl w:val="FB36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909B3"/>
    <w:multiLevelType w:val="multilevel"/>
    <w:tmpl w:val="B4E417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655BF9"/>
    <w:multiLevelType w:val="hybridMultilevel"/>
    <w:tmpl w:val="4A5C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611BF"/>
    <w:multiLevelType w:val="hybridMultilevel"/>
    <w:tmpl w:val="00B478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C568FD"/>
    <w:multiLevelType w:val="hybridMultilevel"/>
    <w:tmpl w:val="5C98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318C3"/>
    <w:multiLevelType w:val="hybridMultilevel"/>
    <w:tmpl w:val="31D04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10FFA"/>
    <w:multiLevelType w:val="hybridMultilevel"/>
    <w:tmpl w:val="C49C2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723C2E"/>
    <w:multiLevelType w:val="hybridMultilevel"/>
    <w:tmpl w:val="F830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B77FC"/>
    <w:multiLevelType w:val="hybridMultilevel"/>
    <w:tmpl w:val="8EEA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233F0"/>
    <w:multiLevelType w:val="hybridMultilevel"/>
    <w:tmpl w:val="77D8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A6B4D"/>
    <w:multiLevelType w:val="hybridMultilevel"/>
    <w:tmpl w:val="ADA4E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BE3D8B"/>
    <w:multiLevelType w:val="hybridMultilevel"/>
    <w:tmpl w:val="66040FCE"/>
    <w:lvl w:ilvl="0" w:tplc="04090001">
      <w:start w:val="1"/>
      <w:numFmt w:val="bullet"/>
      <w:lvlText w:val=""/>
      <w:lvlJc w:val="left"/>
      <w:pPr>
        <w:tabs>
          <w:tab w:val="num" w:pos="720"/>
        </w:tabs>
        <w:ind w:left="720" w:hanging="360"/>
      </w:pPr>
      <w:rPr>
        <w:rFonts w:ascii="Symbol" w:hAnsi="Symbol" w:hint="default"/>
      </w:rPr>
    </w:lvl>
    <w:lvl w:ilvl="1" w:tplc="461E7C20" w:tentative="1">
      <w:start w:val="1"/>
      <w:numFmt w:val="bullet"/>
      <w:lvlText w:val="‐"/>
      <w:lvlJc w:val="left"/>
      <w:pPr>
        <w:tabs>
          <w:tab w:val="num" w:pos="1440"/>
        </w:tabs>
        <w:ind w:left="1440" w:hanging="360"/>
      </w:pPr>
      <w:rPr>
        <w:rFonts w:ascii="Calibri" w:hAnsi="Calibri" w:hint="default"/>
      </w:rPr>
    </w:lvl>
    <w:lvl w:ilvl="2" w:tplc="6E32D38C" w:tentative="1">
      <w:start w:val="1"/>
      <w:numFmt w:val="bullet"/>
      <w:lvlText w:val="‐"/>
      <w:lvlJc w:val="left"/>
      <w:pPr>
        <w:tabs>
          <w:tab w:val="num" w:pos="2160"/>
        </w:tabs>
        <w:ind w:left="2160" w:hanging="360"/>
      </w:pPr>
      <w:rPr>
        <w:rFonts w:ascii="Calibri" w:hAnsi="Calibri" w:hint="default"/>
      </w:rPr>
    </w:lvl>
    <w:lvl w:ilvl="3" w:tplc="224C2FA6" w:tentative="1">
      <w:start w:val="1"/>
      <w:numFmt w:val="bullet"/>
      <w:lvlText w:val="‐"/>
      <w:lvlJc w:val="left"/>
      <w:pPr>
        <w:tabs>
          <w:tab w:val="num" w:pos="2880"/>
        </w:tabs>
        <w:ind w:left="2880" w:hanging="360"/>
      </w:pPr>
      <w:rPr>
        <w:rFonts w:ascii="Calibri" w:hAnsi="Calibri" w:hint="default"/>
      </w:rPr>
    </w:lvl>
    <w:lvl w:ilvl="4" w:tplc="79809138" w:tentative="1">
      <w:start w:val="1"/>
      <w:numFmt w:val="bullet"/>
      <w:lvlText w:val="‐"/>
      <w:lvlJc w:val="left"/>
      <w:pPr>
        <w:tabs>
          <w:tab w:val="num" w:pos="3600"/>
        </w:tabs>
        <w:ind w:left="3600" w:hanging="360"/>
      </w:pPr>
      <w:rPr>
        <w:rFonts w:ascii="Calibri" w:hAnsi="Calibri" w:hint="default"/>
      </w:rPr>
    </w:lvl>
    <w:lvl w:ilvl="5" w:tplc="8752EFC8" w:tentative="1">
      <w:start w:val="1"/>
      <w:numFmt w:val="bullet"/>
      <w:lvlText w:val="‐"/>
      <w:lvlJc w:val="left"/>
      <w:pPr>
        <w:tabs>
          <w:tab w:val="num" w:pos="4320"/>
        </w:tabs>
        <w:ind w:left="4320" w:hanging="360"/>
      </w:pPr>
      <w:rPr>
        <w:rFonts w:ascii="Calibri" w:hAnsi="Calibri" w:hint="default"/>
      </w:rPr>
    </w:lvl>
    <w:lvl w:ilvl="6" w:tplc="8682C8A8" w:tentative="1">
      <w:start w:val="1"/>
      <w:numFmt w:val="bullet"/>
      <w:lvlText w:val="‐"/>
      <w:lvlJc w:val="left"/>
      <w:pPr>
        <w:tabs>
          <w:tab w:val="num" w:pos="5040"/>
        </w:tabs>
        <w:ind w:left="5040" w:hanging="360"/>
      </w:pPr>
      <w:rPr>
        <w:rFonts w:ascii="Calibri" w:hAnsi="Calibri" w:hint="default"/>
      </w:rPr>
    </w:lvl>
    <w:lvl w:ilvl="7" w:tplc="584E2BC2" w:tentative="1">
      <w:start w:val="1"/>
      <w:numFmt w:val="bullet"/>
      <w:lvlText w:val="‐"/>
      <w:lvlJc w:val="left"/>
      <w:pPr>
        <w:tabs>
          <w:tab w:val="num" w:pos="5760"/>
        </w:tabs>
        <w:ind w:left="5760" w:hanging="360"/>
      </w:pPr>
      <w:rPr>
        <w:rFonts w:ascii="Calibri" w:hAnsi="Calibri" w:hint="default"/>
      </w:rPr>
    </w:lvl>
    <w:lvl w:ilvl="8" w:tplc="3D400A4C" w:tentative="1">
      <w:start w:val="1"/>
      <w:numFmt w:val="bullet"/>
      <w:lvlText w:val="‐"/>
      <w:lvlJc w:val="left"/>
      <w:pPr>
        <w:tabs>
          <w:tab w:val="num" w:pos="6480"/>
        </w:tabs>
        <w:ind w:left="6480" w:hanging="360"/>
      </w:pPr>
      <w:rPr>
        <w:rFonts w:ascii="Calibri" w:hAnsi="Calibri" w:hint="default"/>
      </w:rPr>
    </w:lvl>
  </w:abstractNum>
  <w:abstractNum w:abstractNumId="16">
    <w:nsid w:val="4BA820B1"/>
    <w:multiLevelType w:val="hybridMultilevel"/>
    <w:tmpl w:val="AC9E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6E2AD4"/>
    <w:multiLevelType w:val="hybridMultilevel"/>
    <w:tmpl w:val="843E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6D611A"/>
    <w:multiLevelType w:val="hybridMultilevel"/>
    <w:tmpl w:val="E06C198E"/>
    <w:lvl w:ilvl="0" w:tplc="04090001">
      <w:start w:val="1"/>
      <w:numFmt w:val="bullet"/>
      <w:lvlText w:val=""/>
      <w:lvlJc w:val="left"/>
      <w:pPr>
        <w:tabs>
          <w:tab w:val="num" w:pos="720"/>
        </w:tabs>
        <w:ind w:left="720" w:hanging="360"/>
      </w:pPr>
      <w:rPr>
        <w:rFonts w:ascii="Symbol" w:hAnsi="Symbol" w:hint="default"/>
      </w:rPr>
    </w:lvl>
    <w:lvl w:ilvl="1" w:tplc="DB5ACAEA" w:tentative="1">
      <w:start w:val="1"/>
      <w:numFmt w:val="bullet"/>
      <w:lvlText w:val="‐"/>
      <w:lvlJc w:val="left"/>
      <w:pPr>
        <w:tabs>
          <w:tab w:val="num" w:pos="1440"/>
        </w:tabs>
        <w:ind w:left="1440" w:hanging="360"/>
      </w:pPr>
      <w:rPr>
        <w:rFonts w:ascii="Calibri" w:hAnsi="Calibri" w:hint="default"/>
      </w:rPr>
    </w:lvl>
    <w:lvl w:ilvl="2" w:tplc="EAB249EC" w:tentative="1">
      <w:start w:val="1"/>
      <w:numFmt w:val="bullet"/>
      <w:lvlText w:val="‐"/>
      <w:lvlJc w:val="left"/>
      <w:pPr>
        <w:tabs>
          <w:tab w:val="num" w:pos="2160"/>
        </w:tabs>
        <w:ind w:left="2160" w:hanging="360"/>
      </w:pPr>
      <w:rPr>
        <w:rFonts w:ascii="Calibri" w:hAnsi="Calibri" w:hint="default"/>
      </w:rPr>
    </w:lvl>
    <w:lvl w:ilvl="3" w:tplc="5A8C220A" w:tentative="1">
      <w:start w:val="1"/>
      <w:numFmt w:val="bullet"/>
      <w:lvlText w:val="‐"/>
      <w:lvlJc w:val="left"/>
      <w:pPr>
        <w:tabs>
          <w:tab w:val="num" w:pos="2880"/>
        </w:tabs>
        <w:ind w:left="2880" w:hanging="360"/>
      </w:pPr>
      <w:rPr>
        <w:rFonts w:ascii="Calibri" w:hAnsi="Calibri" w:hint="default"/>
      </w:rPr>
    </w:lvl>
    <w:lvl w:ilvl="4" w:tplc="50BA7942" w:tentative="1">
      <w:start w:val="1"/>
      <w:numFmt w:val="bullet"/>
      <w:lvlText w:val="‐"/>
      <w:lvlJc w:val="left"/>
      <w:pPr>
        <w:tabs>
          <w:tab w:val="num" w:pos="3600"/>
        </w:tabs>
        <w:ind w:left="3600" w:hanging="360"/>
      </w:pPr>
      <w:rPr>
        <w:rFonts w:ascii="Calibri" w:hAnsi="Calibri" w:hint="default"/>
      </w:rPr>
    </w:lvl>
    <w:lvl w:ilvl="5" w:tplc="563A6F14" w:tentative="1">
      <w:start w:val="1"/>
      <w:numFmt w:val="bullet"/>
      <w:lvlText w:val="‐"/>
      <w:lvlJc w:val="left"/>
      <w:pPr>
        <w:tabs>
          <w:tab w:val="num" w:pos="4320"/>
        </w:tabs>
        <w:ind w:left="4320" w:hanging="360"/>
      </w:pPr>
      <w:rPr>
        <w:rFonts w:ascii="Calibri" w:hAnsi="Calibri" w:hint="default"/>
      </w:rPr>
    </w:lvl>
    <w:lvl w:ilvl="6" w:tplc="C692724A" w:tentative="1">
      <w:start w:val="1"/>
      <w:numFmt w:val="bullet"/>
      <w:lvlText w:val="‐"/>
      <w:lvlJc w:val="left"/>
      <w:pPr>
        <w:tabs>
          <w:tab w:val="num" w:pos="5040"/>
        </w:tabs>
        <w:ind w:left="5040" w:hanging="360"/>
      </w:pPr>
      <w:rPr>
        <w:rFonts w:ascii="Calibri" w:hAnsi="Calibri" w:hint="default"/>
      </w:rPr>
    </w:lvl>
    <w:lvl w:ilvl="7" w:tplc="0636BB02" w:tentative="1">
      <w:start w:val="1"/>
      <w:numFmt w:val="bullet"/>
      <w:lvlText w:val="‐"/>
      <w:lvlJc w:val="left"/>
      <w:pPr>
        <w:tabs>
          <w:tab w:val="num" w:pos="5760"/>
        </w:tabs>
        <w:ind w:left="5760" w:hanging="360"/>
      </w:pPr>
      <w:rPr>
        <w:rFonts w:ascii="Calibri" w:hAnsi="Calibri" w:hint="default"/>
      </w:rPr>
    </w:lvl>
    <w:lvl w:ilvl="8" w:tplc="B49C69D0" w:tentative="1">
      <w:start w:val="1"/>
      <w:numFmt w:val="bullet"/>
      <w:lvlText w:val="‐"/>
      <w:lvlJc w:val="left"/>
      <w:pPr>
        <w:tabs>
          <w:tab w:val="num" w:pos="6480"/>
        </w:tabs>
        <w:ind w:left="6480" w:hanging="360"/>
      </w:pPr>
      <w:rPr>
        <w:rFonts w:ascii="Calibri" w:hAnsi="Calibri" w:hint="default"/>
      </w:rPr>
    </w:lvl>
  </w:abstractNum>
  <w:abstractNum w:abstractNumId="19">
    <w:nsid w:val="58EA62FE"/>
    <w:multiLevelType w:val="hybridMultilevel"/>
    <w:tmpl w:val="DB2E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30F4C"/>
    <w:multiLevelType w:val="hybridMultilevel"/>
    <w:tmpl w:val="4900E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9119E9"/>
    <w:multiLevelType w:val="hybridMultilevel"/>
    <w:tmpl w:val="4EFEC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7C12C0E"/>
    <w:multiLevelType w:val="hybridMultilevel"/>
    <w:tmpl w:val="AD4E0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DA3207"/>
    <w:multiLevelType w:val="multilevel"/>
    <w:tmpl w:val="C43842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A6D3427"/>
    <w:multiLevelType w:val="hybridMultilevel"/>
    <w:tmpl w:val="5D52A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6C79AE"/>
    <w:multiLevelType w:val="hybridMultilevel"/>
    <w:tmpl w:val="4AD2A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401A77"/>
    <w:multiLevelType w:val="hybridMultilevel"/>
    <w:tmpl w:val="3B40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17"/>
  </w:num>
  <w:num w:numId="10">
    <w:abstractNumId w:val="22"/>
  </w:num>
  <w:num w:numId="11">
    <w:abstractNumId w:val="0"/>
  </w:num>
  <w:num w:numId="12">
    <w:abstractNumId w:val="16"/>
  </w:num>
  <w:num w:numId="13">
    <w:abstractNumId w:val="19"/>
  </w:num>
  <w:num w:numId="14">
    <w:abstractNumId w:val="12"/>
  </w:num>
  <w:num w:numId="15">
    <w:abstractNumId w:val="8"/>
  </w:num>
  <w:num w:numId="16">
    <w:abstractNumId w:val="20"/>
  </w:num>
  <w:num w:numId="17">
    <w:abstractNumId w:val="24"/>
  </w:num>
  <w:num w:numId="18">
    <w:abstractNumId w:val="9"/>
  </w:num>
  <w:num w:numId="19">
    <w:abstractNumId w:val="3"/>
  </w:num>
  <w:num w:numId="20">
    <w:abstractNumId w:val="25"/>
  </w:num>
  <w:num w:numId="21">
    <w:abstractNumId w:val="4"/>
  </w:num>
  <w:num w:numId="22">
    <w:abstractNumId w:val="26"/>
  </w:num>
  <w:num w:numId="23">
    <w:abstractNumId w:val="7"/>
  </w:num>
  <w:num w:numId="24">
    <w:abstractNumId w:val="11"/>
  </w:num>
  <w:num w:numId="25">
    <w:abstractNumId w:val="10"/>
  </w:num>
  <w:num w:numId="26">
    <w:abstractNumId w:val="2"/>
  </w:num>
  <w:num w:numId="27">
    <w:abstractNumId w:val="15"/>
  </w:num>
  <w:num w:numId="28">
    <w:abstractNumId w:val="1"/>
  </w:num>
  <w:num w:numId="29">
    <w:abstractNumId w:val="14"/>
  </w:num>
  <w:num w:numId="30">
    <w:abstractNumId w:val="6"/>
  </w:num>
  <w:num w:numId="31">
    <w:abstractNumId w:val="18"/>
  </w:num>
  <w:num w:numId="32">
    <w:abstractNumId w:val="1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D5"/>
    <w:rsid w:val="0003077A"/>
    <w:rsid w:val="0004307E"/>
    <w:rsid w:val="000C55BC"/>
    <w:rsid w:val="00113F1E"/>
    <w:rsid w:val="001318E6"/>
    <w:rsid w:val="001C7B2A"/>
    <w:rsid w:val="00223712"/>
    <w:rsid w:val="00224827"/>
    <w:rsid w:val="00244BA3"/>
    <w:rsid w:val="00265D93"/>
    <w:rsid w:val="003117A1"/>
    <w:rsid w:val="00353D63"/>
    <w:rsid w:val="0038547B"/>
    <w:rsid w:val="00386C31"/>
    <w:rsid w:val="003F7D7D"/>
    <w:rsid w:val="004F7BF5"/>
    <w:rsid w:val="005434EB"/>
    <w:rsid w:val="005808E9"/>
    <w:rsid w:val="005B00BC"/>
    <w:rsid w:val="00626B07"/>
    <w:rsid w:val="006B58DA"/>
    <w:rsid w:val="006E35A7"/>
    <w:rsid w:val="00736C44"/>
    <w:rsid w:val="007A49D1"/>
    <w:rsid w:val="007E67FB"/>
    <w:rsid w:val="008A77A3"/>
    <w:rsid w:val="008B464D"/>
    <w:rsid w:val="00A44F68"/>
    <w:rsid w:val="00A637F9"/>
    <w:rsid w:val="00A8471D"/>
    <w:rsid w:val="00B26B56"/>
    <w:rsid w:val="00B95B0C"/>
    <w:rsid w:val="00BB185C"/>
    <w:rsid w:val="00BF5A24"/>
    <w:rsid w:val="00BF7638"/>
    <w:rsid w:val="00C27EED"/>
    <w:rsid w:val="00C63D55"/>
    <w:rsid w:val="00C920D9"/>
    <w:rsid w:val="00C975D5"/>
    <w:rsid w:val="00CE07A2"/>
    <w:rsid w:val="00D4629A"/>
    <w:rsid w:val="00DA5592"/>
    <w:rsid w:val="00DB366D"/>
    <w:rsid w:val="00DC6A55"/>
    <w:rsid w:val="00E65B64"/>
    <w:rsid w:val="00EB546C"/>
    <w:rsid w:val="00EE2CB0"/>
    <w:rsid w:val="00EF41C6"/>
    <w:rsid w:val="00F2118C"/>
    <w:rsid w:val="00FD35D0"/>
    <w:rsid w:val="00FE1C54"/>
    <w:rsid w:val="00FF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D5"/>
  </w:style>
  <w:style w:type="paragraph" w:styleId="Heading1">
    <w:name w:val="heading 1"/>
    <w:basedOn w:val="Normal"/>
    <w:next w:val="Normal"/>
    <w:link w:val="Heading1Char"/>
    <w:uiPriority w:val="9"/>
    <w:qFormat/>
    <w:rsid w:val="00A44F68"/>
    <w:pPr>
      <w:keepNext/>
      <w:keepLines/>
      <w:spacing w:before="480" w:after="240"/>
      <w:outlineLvl w:val="0"/>
    </w:pPr>
    <w:rPr>
      <w:rFonts w:eastAsiaTheme="majorEastAsia" w:cstheme="minorHAnsi"/>
      <w:b/>
      <w:bCs/>
      <w:sz w:val="32"/>
      <w:szCs w:val="32"/>
    </w:rPr>
  </w:style>
  <w:style w:type="paragraph" w:styleId="Heading2">
    <w:name w:val="heading 2"/>
    <w:basedOn w:val="Normal"/>
    <w:next w:val="Normal"/>
    <w:link w:val="Heading2Char"/>
    <w:uiPriority w:val="9"/>
    <w:unhideWhenUsed/>
    <w:qFormat/>
    <w:rsid w:val="00A8471D"/>
    <w:pPr>
      <w:keepNext/>
      <w:keepLines/>
      <w:spacing w:before="200" w:after="240"/>
      <w:outlineLvl w:val="1"/>
    </w:pPr>
    <w:rPr>
      <w:rFonts w:eastAsiaTheme="majorEastAsia" w:cstheme="minorHAnsi"/>
      <w:b/>
      <w:bCs/>
      <w:sz w:val="28"/>
      <w:szCs w:val="28"/>
    </w:rPr>
  </w:style>
  <w:style w:type="paragraph" w:styleId="Heading3">
    <w:name w:val="heading 3"/>
    <w:basedOn w:val="Normal"/>
    <w:next w:val="Normal"/>
    <w:link w:val="Heading3Char"/>
    <w:uiPriority w:val="9"/>
    <w:unhideWhenUsed/>
    <w:qFormat/>
    <w:rsid w:val="00A8471D"/>
    <w:pPr>
      <w:keepNext/>
      <w:keepLines/>
      <w:spacing w:before="200" w:after="240"/>
      <w:outlineLvl w:val="2"/>
    </w:pPr>
    <w:rPr>
      <w:rFonts w:eastAsiaTheme="majorEastAsia" w:cstheme="minorHAnsi"/>
      <w:b/>
      <w:bCs/>
      <w:sz w:val="28"/>
      <w:szCs w:val="28"/>
    </w:rPr>
  </w:style>
  <w:style w:type="paragraph" w:styleId="Heading4">
    <w:name w:val="heading 4"/>
    <w:basedOn w:val="Normal"/>
    <w:next w:val="Normal"/>
    <w:link w:val="Heading4Char"/>
    <w:uiPriority w:val="9"/>
    <w:unhideWhenUsed/>
    <w:qFormat/>
    <w:rsid w:val="00CE07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07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07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0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07A2"/>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E0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71D"/>
    <w:rPr>
      <w:rFonts w:eastAsiaTheme="majorEastAsia" w:cstheme="minorHAnsi"/>
      <w:b/>
      <w:bCs/>
      <w:sz w:val="28"/>
      <w:szCs w:val="28"/>
    </w:rPr>
  </w:style>
  <w:style w:type="character" w:customStyle="1" w:styleId="Heading1Char">
    <w:name w:val="Heading 1 Char"/>
    <w:basedOn w:val="DefaultParagraphFont"/>
    <w:link w:val="Heading1"/>
    <w:uiPriority w:val="9"/>
    <w:rsid w:val="00A44F68"/>
    <w:rPr>
      <w:rFonts w:eastAsiaTheme="majorEastAsia" w:cstheme="minorHAnsi"/>
      <w:b/>
      <w:bCs/>
      <w:sz w:val="32"/>
      <w:szCs w:val="32"/>
    </w:rPr>
  </w:style>
  <w:style w:type="character" w:customStyle="1" w:styleId="Heading3Char">
    <w:name w:val="Heading 3 Char"/>
    <w:basedOn w:val="DefaultParagraphFont"/>
    <w:link w:val="Heading3"/>
    <w:uiPriority w:val="9"/>
    <w:rsid w:val="00A8471D"/>
    <w:rPr>
      <w:rFonts w:eastAsiaTheme="majorEastAsia" w:cstheme="minorHAnsi"/>
      <w:b/>
      <w:bCs/>
      <w:sz w:val="28"/>
      <w:szCs w:val="28"/>
    </w:rPr>
  </w:style>
  <w:style w:type="character" w:customStyle="1" w:styleId="Heading4Char">
    <w:name w:val="Heading 4 Char"/>
    <w:basedOn w:val="DefaultParagraphFont"/>
    <w:link w:val="Heading4"/>
    <w:uiPriority w:val="9"/>
    <w:rsid w:val="00CE07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E07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07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07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07A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E07A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E07A2"/>
    <w:pPr>
      <w:ind w:left="720"/>
      <w:contextualSpacing/>
    </w:pPr>
  </w:style>
  <w:style w:type="paragraph" w:styleId="Caption">
    <w:name w:val="caption"/>
    <w:basedOn w:val="Normal"/>
    <w:next w:val="Normal"/>
    <w:uiPriority w:val="35"/>
    <w:semiHidden/>
    <w:unhideWhenUsed/>
    <w:qFormat/>
    <w:rsid w:val="00CE07A2"/>
    <w:rPr>
      <w:b/>
      <w:bCs/>
      <w:color w:val="4F81BD" w:themeColor="accent1"/>
      <w:sz w:val="18"/>
      <w:szCs w:val="18"/>
    </w:rPr>
  </w:style>
  <w:style w:type="paragraph" w:styleId="Title">
    <w:name w:val="Title"/>
    <w:basedOn w:val="Normal"/>
    <w:next w:val="Normal"/>
    <w:link w:val="TitleChar"/>
    <w:uiPriority w:val="10"/>
    <w:qFormat/>
    <w:rsid w:val="00CE07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07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E0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07A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E07A2"/>
    <w:rPr>
      <w:b/>
      <w:bCs/>
    </w:rPr>
  </w:style>
  <w:style w:type="character" w:styleId="Emphasis">
    <w:name w:val="Emphasis"/>
    <w:basedOn w:val="DefaultParagraphFont"/>
    <w:uiPriority w:val="20"/>
    <w:qFormat/>
    <w:rsid w:val="00CE07A2"/>
    <w:rPr>
      <w:i/>
      <w:iCs/>
    </w:rPr>
  </w:style>
  <w:style w:type="paragraph" w:styleId="NoSpacing">
    <w:name w:val="No Spacing"/>
    <w:uiPriority w:val="1"/>
    <w:qFormat/>
    <w:rsid w:val="00CE07A2"/>
  </w:style>
  <w:style w:type="paragraph" w:styleId="Quote">
    <w:name w:val="Quote"/>
    <w:basedOn w:val="Normal"/>
    <w:next w:val="Normal"/>
    <w:link w:val="QuoteChar"/>
    <w:uiPriority w:val="29"/>
    <w:qFormat/>
    <w:rsid w:val="00CE07A2"/>
    <w:rPr>
      <w:i/>
      <w:iCs/>
      <w:color w:val="000000" w:themeColor="text1"/>
    </w:rPr>
  </w:style>
  <w:style w:type="character" w:customStyle="1" w:styleId="QuoteChar">
    <w:name w:val="Quote Char"/>
    <w:basedOn w:val="DefaultParagraphFont"/>
    <w:link w:val="Quote"/>
    <w:uiPriority w:val="29"/>
    <w:rsid w:val="00CE07A2"/>
    <w:rPr>
      <w:i/>
      <w:iCs/>
      <w:color w:val="000000" w:themeColor="text1"/>
    </w:rPr>
  </w:style>
  <w:style w:type="paragraph" w:styleId="IntenseQuote">
    <w:name w:val="Intense Quote"/>
    <w:basedOn w:val="Normal"/>
    <w:next w:val="Normal"/>
    <w:link w:val="IntenseQuoteChar"/>
    <w:uiPriority w:val="30"/>
    <w:qFormat/>
    <w:rsid w:val="00CE07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7A2"/>
    <w:rPr>
      <w:b/>
      <w:bCs/>
      <w:i/>
      <w:iCs/>
      <w:color w:val="4F81BD" w:themeColor="accent1"/>
    </w:rPr>
  </w:style>
  <w:style w:type="character" w:styleId="SubtleEmphasis">
    <w:name w:val="Subtle Emphasis"/>
    <w:basedOn w:val="DefaultParagraphFont"/>
    <w:uiPriority w:val="19"/>
    <w:qFormat/>
    <w:rsid w:val="00CE07A2"/>
    <w:rPr>
      <w:i/>
      <w:iCs/>
      <w:color w:val="808080" w:themeColor="text1" w:themeTint="7F"/>
    </w:rPr>
  </w:style>
  <w:style w:type="character" w:styleId="IntenseEmphasis">
    <w:name w:val="Intense Emphasis"/>
    <w:basedOn w:val="DefaultParagraphFont"/>
    <w:uiPriority w:val="21"/>
    <w:qFormat/>
    <w:rsid w:val="00CE07A2"/>
    <w:rPr>
      <w:b/>
      <w:bCs/>
      <w:i/>
      <w:iCs/>
      <w:color w:val="4F81BD" w:themeColor="accent1"/>
    </w:rPr>
  </w:style>
  <w:style w:type="character" w:styleId="SubtleReference">
    <w:name w:val="Subtle Reference"/>
    <w:basedOn w:val="DefaultParagraphFont"/>
    <w:uiPriority w:val="31"/>
    <w:qFormat/>
    <w:rsid w:val="00CE07A2"/>
    <w:rPr>
      <w:smallCaps/>
      <w:color w:val="C0504D" w:themeColor="accent2"/>
      <w:u w:val="single"/>
    </w:rPr>
  </w:style>
  <w:style w:type="character" w:styleId="IntenseReference">
    <w:name w:val="Intense Reference"/>
    <w:basedOn w:val="DefaultParagraphFont"/>
    <w:uiPriority w:val="32"/>
    <w:qFormat/>
    <w:rsid w:val="00CE07A2"/>
    <w:rPr>
      <w:b/>
      <w:bCs/>
      <w:smallCaps/>
      <w:color w:val="C0504D" w:themeColor="accent2"/>
      <w:spacing w:val="5"/>
      <w:u w:val="single"/>
    </w:rPr>
  </w:style>
  <w:style w:type="character" w:styleId="BookTitle">
    <w:name w:val="Book Title"/>
    <w:basedOn w:val="DefaultParagraphFont"/>
    <w:uiPriority w:val="33"/>
    <w:qFormat/>
    <w:rsid w:val="00CE07A2"/>
    <w:rPr>
      <w:b/>
      <w:bCs/>
      <w:smallCaps/>
      <w:spacing w:val="5"/>
    </w:rPr>
  </w:style>
  <w:style w:type="paragraph" w:styleId="TOCHeading">
    <w:name w:val="TOC Heading"/>
    <w:basedOn w:val="Heading1"/>
    <w:next w:val="Normal"/>
    <w:uiPriority w:val="39"/>
    <w:semiHidden/>
    <w:unhideWhenUsed/>
    <w:qFormat/>
    <w:rsid w:val="00CE07A2"/>
    <w:pPr>
      <w:outlineLvl w:val="9"/>
    </w:pPr>
  </w:style>
  <w:style w:type="paragraph" w:styleId="Header">
    <w:name w:val="header"/>
    <w:basedOn w:val="Normal"/>
    <w:link w:val="HeaderChar"/>
    <w:uiPriority w:val="99"/>
    <w:unhideWhenUsed/>
    <w:rsid w:val="00C975D5"/>
    <w:pPr>
      <w:tabs>
        <w:tab w:val="center" w:pos="4680"/>
        <w:tab w:val="right" w:pos="9360"/>
      </w:tabs>
    </w:pPr>
  </w:style>
  <w:style w:type="character" w:customStyle="1" w:styleId="HeaderChar">
    <w:name w:val="Header Char"/>
    <w:basedOn w:val="DefaultParagraphFont"/>
    <w:link w:val="Header"/>
    <w:uiPriority w:val="99"/>
    <w:rsid w:val="00C975D5"/>
  </w:style>
  <w:style w:type="paragraph" w:styleId="Footer">
    <w:name w:val="footer"/>
    <w:basedOn w:val="Normal"/>
    <w:link w:val="FooterChar"/>
    <w:uiPriority w:val="99"/>
    <w:unhideWhenUsed/>
    <w:rsid w:val="00C975D5"/>
    <w:pPr>
      <w:tabs>
        <w:tab w:val="center" w:pos="4680"/>
        <w:tab w:val="right" w:pos="9360"/>
      </w:tabs>
    </w:pPr>
  </w:style>
  <w:style w:type="character" w:customStyle="1" w:styleId="FooterChar">
    <w:name w:val="Footer Char"/>
    <w:basedOn w:val="DefaultParagraphFont"/>
    <w:link w:val="Footer"/>
    <w:uiPriority w:val="99"/>
    <w:rsid w:val="00C975D5"/>
  </w:style>
  <w:style w:type="character" w:styleId="Hyperlink">
    <w:name w:val="Hyperlink"/>
    <w:basedOn w:val="DefaultParagraphFont"/>
    <w:uiPriority w:val="99"/>
    <w:unhideWhenUsed/>
    <w:rsid w:val="0004307E"/>
    <w:rPr>
      <w:color w:val="0000FF" w:themeColor="hyperlink"/>
      <w:u w:val="single"/>
    </w:rPr>
  </w:style>
  <w:style w:type="paragraph" w:styleId="BalloonText">
    <w:name w:val="Balloon Text"/>
    <w:basedOn w:val="Normal"/>
    <w:link w:val="BalloonTextChar"/>
    <w:uiPriority w:val="99"/>
    <w:semiHidden/>
    <w:unhideWhenUsed/>
    <w:rsid w:val="00223712"/>
    <w:rPr>
      <w:rFonts w:ascii="Tahoma" w:hAnsi="Tahoma" w:cs="Tahoma"/>
      <w:sz w:val="16"/>
      <w:szCs w:val="16"/>
    </w:rPr>
  </w:style>
  <w:style w:type="character" w:customStyle="1" w:styleId="BalloonTextChar">
    <w:name w:val="Balloon Text Char"/>
    <w:basedOn w:val="DefaultParagraphFont"/>
    <w:link w:val="BalloonText"/>
    <w:uiPriority w:val="99"/>
    <w:semiHidden/>
    <w:rsid w:val="00223712"/>
    <w:rPr>
      <w:rFonts w:ascii="Tahoma" w:hAnsi="Tahoma" w:cs="Tahoma"/>
      <w:sz w:val="16"/>
      <w:szCs w:val="16"/>
    </w:rPr>
  </w:style>
  <w:style w:type="character" w:styleId="CommentReference">
    <w:name w:val="annotation reference"/>
    <w:basedOn w:val="DefaultParagraphFont"/>
    <w:uiPriority w:val="99"/>
    <w:semiHidden/>
    <w:unhideWhenUsed/>
    <w:rsid w:val="00223712"/>
    <w:rPr>
      <w:sz w:val="16"/>
      <w:szCs w:val="16"/>
    </w:rPr>
  </w:style>
  <w:style w:type="paragraph" w:styleId="CommentText">
    <w:name w:val="annotation text"/>
    <w:basedOn w:val="Normal"/>
    <w:link w:val="CommentTextChar"/>
    <w:uiPriority w:val="99"/>
    <w:semiHidden/>
    <w:unhideWhenUsed/>
    <w:rsid w:val="00223712"/>
    <w:rPr>
      <w:sz w:val="20"/>
      <w:szCs w:val="20"/>
    </w:rPr>
  </w:style>
  <w:style w:type="character" w:customStyle="1" w:styleId="CommentTextChar">
    <w:name w:val="Comment Text Char"/>
    <w:basedOn w:val="DefaultParagraphFont"/>
    <w:link w:val="CommentText"/>
    <w:uiPriority w:val="99"/>
    <w:semiHidden/>
    <w:rsid w:val="00223712"/>
    <w:rPr>
      <w:sz w:val="20"/>
      <w:szCs w:val="20"/>
    </w:rPr>
  </w:style>
  <w:style w:type="paragraph" w:styleId="CommentSubject">
    <w:name w:val="annotation subject"/>
    <w:basedOn w:val="CommentText"/>
    <w:next w:val="CommentText"/>
    <w:link w:val="CommentSubjectChar"/>
    <w:uiPriority w:val="99"/>
    <w:semiHidden/>
    <w:unhideWhenUsed/>
    <w:rsid w:val="00223712"/>
    <w:rPr>
      <w:b/>
      <w:bCs/>
    </w:rPr>
  </w:style>
  <w:style w:type="character" w:customStyle="1" w:styleId="CommentSubjectChar">
    <w:name w:val="Comment Subject Char"/>
    <w:basedOn w:val="CommentTextChar"/>
    <w:link w:val="CommentSubject"/>
    <w:uiPriority w:val="99"/>
    <w:semiHidden/>
    <w:rsid w:val="002237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D5"/>
  </w:style>
  <w:style w:type="paragraph" w:styleId="Heading1">
    <w:name w:val="heading 1"/>
    <w:basedOn w:val="Normal"/>
    <w:next w:val="Normal"/>
    <w:link w:val="Heading1Char"/>
    <w:uiPriority w:val="9"/>
    <w:qFormat/>
    <w:rsid w:val="00A44F68"/>
    <w:pPr>
      <w:keepNext/>
      <w:keepLines/>
      <w:spacing w:before="480" w:after="240"/>
      <w:outlineLvl w:val="0"/>
    </w:pPr>
    <w:rPr>
      <w:rFonts w:eastAsiaTheme="majorEastAsia" w:cstheme="minorHAnsi"/>
      <w:b/>
      <w:bCs/>
      <w:sz w:val="32"/>
      <w:szCs w:val="32"/>
    </w:rPr>
  </w:style>
  <w:style w:type="paragraph" w:styleId="Heading2">
    <w:name w:val="heading 2"/>
    <w:basedOn w:val="Normal"/>
    <w:next w:val="Normal"/>
    <w:link w:val="Heading2Char"/>
    <w:uiPriority w:val="9"/>
    <w:unhideWhenUsed/>
    <w:qFormat/>
    <w:rsid w:val="00A8471D"/>
    <w:pPr>
      <w:keepNext/>
      <w:keepLines/>
      <w:spacing w:before="200" w:after="240"/>
      <w:outlineLvl w:val="1"/>
    </w:pPr>
    <w:rPr>
      <w:rFonts w:eastAsiaTheme="majorEastAsia" w:cstheme="minorHAnsi"/>
      <w:b/>
      <w:bCs/>
      <w:sz w:val="28"/>
      <w:szCs w:val="28"/>
    </w:rPr>
  </w:style>
  <w:style w:type="paragraph" w:styleId="Heading3">
    <w:name w:val="heading 3"/>
    <w:basedOn w:val="Normal"/>
    <w:next w:val="Normal"/>
    <w:link w:val="Heading3Char"/>
    <w:uiPriority w:val="9"/>
    <w:unhideWhenUsed/>
    <w:qFormat/>
    <w:rsid w:val="00A8471D"/>
    <w:pPr>
      <w:keepNext/>
      <w:keepLines/>
      <w:spacing w:before="200" w:after="240"/>
      <w:outlineLvl w:val="2"/>
    </w:pPr>
    <w:rPr>
      <w:rFonts w:eastAsiaTheme="majorEastAsia" w:cstheme="minorHAnsi"/>
      <w:b/>
      <w:bCs/>
      <w:sz w:val="28"/>
      <w:szCs w:val="28"/>
    </w:rPr>
  </w:style>
  <w:style w:type="paragraph" w:styleId="Heading4">
    <w:name w:val="heading 4"/>
    <w:basedOn w:val="Normal"/>
    <w:next w:val="Normal"/>
    <w:link w:val="Heading4Char"/>
    <w:uiPriority w:val="9"/>
    <w:unhideWhenUsed/>
    <w:qFormat/>
    <w:rsid w:val="00CE07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07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07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0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07A2"/>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E0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71D"/>
    <w:rPr>
      <w:rFonts w:eastAsiaTheme="majorEastAsia" w:cstheme="minorHAnsi"/>
      <w:b/>
      <w:bCs/>
      <w:sz w:val="28"/>
      <w:szCs w:val="28"/>
    </w:rPr>
  </w:style>
  <w:style w:type="character" w:customStyle="1" w:styleId="Heading1Char">
    <w:name w:val="Heading 1 Char"/>
    <w:basedOn w:val="DefaultParagraphFont"/>
    <w:link w:val="Heading1"/>
    <w:uiPriority w:val="9"/>
    <w:rsid w:val="00A44F68"/>
    <w:rPr>
      <w:rFonts w:eastAsiaTheme="majorEastAsia" w:cstheme="minorHAnsi"/>
      <w:b/>
      <w:bCs/>
      <w:sz w:val="32"/>
      <w:szCs w:val="32"/>
    </w:rPr>
  </w:style>
  <w:style w:type="character" w:customStyle="1" w:styleId="Heading3Char">
    <w:name w:val="Heading 3 Char"/>
    <w:basedOn w:val="DefaultParagraphFont"/>
    <w:link w:val="Heading3"/>
    <w:uiPriority w:val="9"/>
    <w:rsid w:val="00A8471D"/>
    <w:rPr>
      <w:rFonts w:eastAsiaTheme="majorEastAsia" w:cstheme="minorHAnsi"/>
      <w:b/>
      <w:bCs/>
      <w:sz w:val="28"/>
      <w:szCs w:val="28"/>
    </w:rPr>
  </w:style>
  <w:style w:type="character" w:customStyle="1" w:styleId="Heading4Char">
    <w:name w:val="Heading 4 Char"/>
    <w:basedOn w:val="DefaultParagraphFont"/>
    <w:link w:val="Heading4"/>
    <w:uiPriority w:val="9"/>
    <w:rsid w:val="00CE07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E07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07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07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07A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E07A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E07A2"/>
    <w:pPr>
      <w:ind w:left="720"/>
      <w:contextualSpacing/>
    </w:pPr>
  </w:style>
  <w:style w:type="paragraph" w:styleId="Caption">
    <w:name w:val="caption"/>
    <w:basedOn w:val="Normal"/>
    <w:next w:val="Normal"/>
    <w:uiPriority w:val="35"/>
    <w:semiHidden/>
    <w:unhideWhenUsed/>
    <w:qFormat/>
    <w:rsid w:val="00CE07A2"/>
    <w:rPr>
      <w:b/>
      <w:bCs/>
      <w:color w:val="4F81BD" w:themeColor="accent1"/>
      <w:sz w:val="18"/>
      <w:szCs w:val="18"/>
    </w:rPr>
  </w:style>
  <w:style w:type="paragraph" w:styleId="Title">
    <w:name w:val="Title"/>
    <w:basedOn w:val="Normal"/>
    <w:next w:val="Normal"/>
    <w:link w:val="TitleChar"/>
    <w:uiPriority w:val="10"/>
    <w:qFormat/>
    <w:rsid w:val="00CE07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07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E0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07A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E07A2"/>
    <w:rPr>
      <w:b/>
      <w:bCs/>
    </w:rPr>
  </w:style>
  <w:style w:type="character" w:styleId="Emphasis">
    <w:name w:val="Emphasis"/>
    <w:basedOn w:val="DefaultParagraphFont"/>
    <w:uiPriority w:val="20"/>
    <w:qFormat/>
    <w:rsid w:val="00CE07A2"/>
    <w:rPr>
      <w:i/>
      <w:iCs/>
    </w:rPr>
  </w:style>
  <w:style w:type="paragraph" w:styleId="NoSpacing">
    <w:name w:val="No Spacing"/>
    <w:uiPriority w:val="1"/>
    <w:qFormat/>
    <w:rsid w:val="00CE07A2"/>
  </w:style>
  <w:style w:type="paragraph" w:styleId="Quote">
    <w:name w:val="Quote"/>
    <w:basedOn w:val="Normal"/>
    <w:next w:val="Normal"/>
    <w:link w:val="QuoteChar"/>
    <w:uiPriority w:val="29"/>
    <w:qFormat/>
    <w:rsid w:val="00CE07A2"/>
    <w:rPr>
      <w:i/>
      <w:iCs/>
      <w:color w:val="000000" w:themeColor="text1"/>
    </w:rPr>
  </w:style>
  <w:style w:type="character" w:customStyle="1" w:styleId="QuoteChar">
    <w:name w:val="Quote Char"/>
    <w:basedOn w:val="DefaultParagraphFont"/>
    <w:link w:val="Quote"/>
    <w:uiPriority w:val="29"/>
    <w:rsid w:val="00CE07A2"/>
    <w:rPr>
      <w:i/>
      <w:iCs/>
      <w:color w:val="000000" w:themeColor="text1"/>
    </w:rPr>
  </w:style>
  <w:style w:type="paragraph" w:styleId="IntenseQuote">
    <w:name w:val="Intense Quote"/>
    <w:basedOn w:val="Normal"/>
    <w:next w:val="Normal"/>
    <w:link w:val="IntenseQuoteChar"/>
    <w:uiPriority w:val="30"/>
    <w:qFormat/>
    <w:rsid w:val="00CE07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7A2"/>
    <w:rPr>
      <w:b/>
      <w:bCs/>
      <w:i/>
      <w:iCs/>
      <w:color w:val="4F81BD" w:themeColor="accent1"/>
    </w:rPr>
  </w:style>
  <w:style w:type="character" w:styleId="SubtleEmphasis">
    <w:name w:val="Subtle Emphasis"/>
    <w:basedOn w:val="DefaultParagraphFont"/>
    <w:uiPriority w:val="19"/>
    <w:qFormat/>
    <w:rsid w:val="00CE07A2"/>
    <w:rPr>
      <w:i/>
      <w:iCs/>
      <w:color w:val="808080" w:themeColor="text1" w:themeTint="7F"/>
    </w:rPr>
  </w:style>
  <w:style w:type="character" w:styleId="IntenseEmphasis">
    <w:name w:val="Intense Emphasis"/>
    <w:basedOn w:val="DefaultParagraphFont"/>
    <w:uiPriority w:val="21"/>
    <w:qFormat/>
    <w:rsid w:val="00CE07A2"/>
    <w:rPr>
      <w:b/>
      <w:bCs/>
      <w:i/>
      <w:iCs/>
      <w:color w:val="4F81BD" w:themeColor="accent1"/>
    </w:rPr>
  </w:style>
  <w:style w:type="character" w:styleId="SubtleReference">
    <w:name w:val="Subtle Reference"/>
    <w:basedOn w:val="DefaultParagraphFont"/>
    <w:uiPriority w:val="31"/>
    <w:qFormat/>
    <w:rsid w:val="00CE07A2"/>
    <w:rPr>
      <w:smallCaps/>
      <w:color w:val="C0504D" w:themeColor="accent2"/>
      <w:u w:val="single"/>
    </w:rPr>
  </w:style>
  <w:style w:type="character" w:styleId="IntenseReference">
    <w:name w:val="Intense Reference"/>
    <w:basedOn w:val="DefaultParagraphFont"/>
    <w:uiPriority w:val="32"/>
    <w:qFormat/>
    <w:rsid w:val="00CE07A2"/>
    <w:rPr>
      <w:b/>
      <w:bCs/>
      <w:smallCaps/>
      <w:color w:val="C0504D" w:themeColor="accent2"/>
      <w:spacing w:val="5"/>
      <w:u w:val="single"/>
    </w:rPr>
  </w:style>
  <w:style w:type="character" w:styleId="BookTitle">
    <w:name w:val="Book Title"/>
    <w:basedOn w:val="DefaultParagraphFont"/>
    <w:uiPriority w:val="33"/>
    <w:qFormat/>
    <w:rsid w:val="00CE07A2"/>
    <w:rPr>
      <w:b/>
      <w:bCs/>
      <w:smallCaps/>
      <w:spacing w:val="5"/>
    </w:rPr>
  </w:style>
  <w:style w:type="paragraph" w:styleId="TOCHeading">
    <w:name w:val="TOC Heading"/>
    <w:basedOn w:val="Heading1"/>
    <w:next w:val="Normal"/>
    <w:uiPriority w:val="39"/>
    <w:semiHidden/>
    <w:unhideWhenUsed/>
    <w:qFormat/>
    <w:rsid w:val="00CE07A2"/>
    <w:pPr>
      <w:outlineLvl w:val="9"/>
    </w:pPr>
  </w:style>
  <w:style w:type="paragraph" w:styleId="Header">
    <w:name w:val="header"/>
    <w:basedOn w:val="Normal"/>
    <w:link w:val="HeaderChar"/>
    <w:uiPriority w:val="99"/>
    <w:unhideWhenUsed/>
    <w:rsid w:val="00C975D5"/>
    <w:pPr>
      <w:tabs>
        <w:tab w:val="center" w:pos="4680"/>
        <w:tab w:val="right" w:pos="9360"/>
      </w:tabs>
    </w:pPr>
  </w:style>
  <w:style w:type="character" w:customStyle="1" w:styleId="HeaderChar">
    <w:name w:val="Header Char"/>
    <w:basedOn w:val="DefaultParagraphFont"/>
    <w:link w:val="Header"/>
    <w:uiPriority w:val="99"/>
    <w:rsid w:val="00C975D5"/>
  </w:style>
  <w:style w:type="paragraph" w:styleId="Footer">
    <w:name w:val="footer"/>
    <w:basedOn w:val="Normal"/>
    <w:link w:val="FooterChar"/>
    <w:uiPriority w:val="99"/>
    <w:unhideWhenUsed/>
    <w:rsid w:val="00C975D5"/>
    <w:pPr>
      <w:tabs>
        <w:tab w:val="center" w:pos="4680"/>
        <w:tab w:val="right" w:pos="9360"/>
      </w:tabs>
    </w:pPr>
  </w:style>
  <w:style w:type="character" w:customStyle="1" w:styleId="FooterChar">
    <w:name w:val="Footer Char"/>
    <w:basedOn w:val="DefaultParagraphFont"/>
    <w:link w:val="Footer"/>
    <w:uiPriority w:val="99"/>
    <w:rsid w:val="00C975D5"/>
  </w:style>
  <w:style w:type="character" w:styleId="Hyperlink">
    <w:name w:val="Hyperlink"/>
    <w:basedOn w:val="DefaultParagraphFont"/>
    <w:uiPriority w:val="99"/>
    <w:unhideWhenUsed/>
    <w:rsid w:val="0004307E"/>
    <w:rPr>
      <w:color w:val="0000FF" w:themeColor="hyperlink"/>
      <w:u w:val="single"/>
    </w:rPr>
  </w:style>
  <w:style w:type="paragraph" w:styleId="BalloonText">
    <w:name w:val="Balloon Text"/>
    <w:basedOn w:val="Normal"/>
    <w:link w:val="BalloonTextChar"/>
    <w:uiPriority w:val="99"/>
    <w:semiHidden/>
    <w:unhideWhenUsed/>
    <w:rsid w:val="00223712"/>
    <w:rPr>
      <w:rFonts w:ascii="Tahoma" w:hAnsi="Tahoma" w:cs="Tahoma"/>
      <w:sz w:val="16"/>
      <w:szCs w:val="16"/>
    </w:rPr>
  </w:style>
  <w:style w:type="character" w:customStyle="1" w:styleId="BalloonTextChar">
    <w:name w:val="Balloon Text Char"/>
    <w:basedOn w:val="DefaultParagraphFont"/>
    <w:link w:val="BalloonText"/>
    <w:uiPriority w:val="99"/>
    <w:semiHidden/>
    <w:rsid w:val="00223712"/>
    <w:rPr>
      <w:rFonts w:ascii="Tahoma" w:hAnsi="Tahoma" w:cs="Tahoma"/>
      <w:sz w:val="16"/>
      <w:szCs w:val="16"/>
    </w:rPr>
  </w:style>
  <w:style w:type="character" w:styleId="CommentReference">
    <w:name w:val="annotation reference"/>
    <w:basedOn w:val="DefaultParagraphFont"/>
    <w:uiPriority w:val="99"/>
    <w:semiHidden/>
    <w:unhideWhenUsed/>
    <w:rsid w:val="00223712"/>
    <w:rPr>
      <w:sz w:val="16"/>
      <w:szCs w:val="16"/>
    </w:rPr>
  </w:style>
  <w:style w:type="paragraph" w:styleId="CommentText">
    <w:name w:val="annotation text"/>
    <w:basedOn w:val="Normal"/>
    <w:link w:val="CommentTextChar"/>
    <w:uiPriority w:val="99"/>
    <w:semiHidden/>
    <w:unhideWhenUsed/>
    <w:rsid w:val="00223712"/>
    <w:rPr>
      <w:sz w:val="20"/>
      <w:szCs w:val="20"/>
    </w:rPr>
  </w:style>
  <w:style w:type="character" w:customStyle="1" w:styleId="CommentTextChar">
    <w:name w:val="Comment Text Char"/>
    <w:basedOn w:val="DefaultParagraphFont"/>
    <w:link w:val="CommentText"/>
    <w:uiPriority w:val="99"/>
    <w:semiHidden/>
    <w:rsid w:val="00223712"/>
    <w:rPr>
      <w:sz w:val="20"/>
      <w:szCs w:val="20"/>
    </w:rPr>
  </w:style>
  <w:style w:type="paragraph" w:styleId="CommentSubject">
    <w:name w:val="annotation subject"/>
    <w:basedOn w:val="CommentText"/>
    <w:next w:val="CommentText"/>
    <w:link w:val="CommentSubjectChar"/>
    <w:uiPriority w:val="99"/>
    <w:semiHidden/>
    <w:unhideWhenUsed/>
    <w:rsid w:val="00223712"/>
    <w:rPr>
      <w:b/>
      <w:bCs/>
    </w:rPr>
  </w:style>
  <w:style w:type="character" w:customStyle="1" w:styleId="CommentSubjectChar">
    <w:name w:val="Comment Subject Char"/>
    <w:basedOn w:val="CommentTextChar"/>
    <w:link w:val="CommentSubject"/>
    <w:uiPriority w:val="99"/>
    <w:semiHidden/>
    <w:rsid w:val="00223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33B1-2220-4B7E-8E2F-3C868335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Atencio, Amparo</dc:creator>
  <cp:lastModifiedBy>Atencio, Amparo</cp:lastModifiedBy>
  <cp:revision>6</cp:revision>
  <dcterms:created xsi:type="dcterms:W3CDTF">2015-07-08T20:52:00Z</dcterms:created>
  <dcterms:modified xsi:type="dcterms:W3CDTF">2015-07-24T15:05:00Z</dcterms:modified>
</cp:coreProperties>
</file>